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4720" w14:textId="77777777" w:rsidR="00776CC8" w:rsidRDefault="00776CC8" w:rsidP="00776CC8">
      <w:pPr>
        <w:jc w:val="center"/>
        <w:rPr>
          <w:b/>
          <w:bCs/>
          <w:sz w:val="28"/>
          <w:szCs w:val="28"/>
          <w:u w:val="single"/>
          <w:lang w:val="en-US"/>
        </w:rPr>
      </w:pPr>
      <w:r>
        <w:rPr>
          <w:b/>
          <w:bCs/>
          <w:sz w:val="28"/>
          <w:szCs w:val="28"/>
          <w:u w:val="single"/>
          <w:lang w:val="en-US"/>
        </w:rPr>
        <w:t>Terms of Reference</w:t>
      </w:r>
    </w:p>
    <w:p w14:paraId="07B66395" w14:textId="77777777" w:rsidR="00776CC8" w:rsidRDefault="00776CC8" w:rsidP="00776CC8">
      <w:pPr>
        <w:jc w:val="center"/>
        <w:rPr>
          <w:b/>
          <w:bCs/>
          <w:sz w:val="28"/>
          <w:szCs w:val="28"/>
          <w:u w:val="single"/>
          <w:lang w:val="en-US"/>
        </w:rPr>
      </w:pPr>
      <w:r>
        <w:rPr>
          <w:b/>
          <w:bCs/>
          <w:sz w:val="28"/>
          <w:szCs w:val="28"/>
          <w:u w:val="single"/>
          <w:lang w:val="en-US"/>
        </w:rPr>
        <w:t>Task Force on Emergency Cash Assistance for Beirut Blast Response</w:t>
      </w:r>
    </w:p>
    <w:p w14:paraId="7B16ED25" w14:textId="77777777" w:rsidR="00776CC8" w:rsidRDefault="00776CC8" w:rsidP="00776CC8">
      <w:pPr>
        <w:jc w:val="center"/>
        <w:rPr>
          <w:b/>
          <w:bCs/>
          <w:sz w:val="28"/>
          <w:szCs w:val="28"/>
          <w:u w:val="single"/>
          <w:lang w:val="en-US"/>
        </w:rPr>
      </w:pPr>
      <w:r>
        <w:rPr>
          <w:b/>
          <w:bCs/>
          <w:sz w:val="28"/>
          <w:szCs w:val="28"/>
          <w:u w:val="single"/>
          <w:lang w:val="en-US"/>
        </w:rPr>
        <w:t>August 2020</w:t>
      </w:r>
    </w:p>
    <w:p w14:paraId="10BE4D8F" w14:textId="77777777" w:rsidR="009D0033" w:rsidRDefault="009D0033" w:rsidP="009D0033">
      <w:pPr>
        <w:rPr>
          <w:b/>
          <w:bCs/>
          <w:u w:val="single"/>
        </w:rPr>
      </w:pPr>
    </w:p>
    <w:p w14:paraId="5A6D43A7" w14:textId="29933E00" w:rsidR="009D0033" w:rsidRDefault="009D0033" w:rsidP="009D0033">
      <w:pPr>
        <w:rPr>
          <w:b/>
          <w:bCs/>
          <w:u w:val="single"/>
        </w:rPr>
      </w:pPr>
      <w:r>
        <w:rPr>
          <w:b/>
          <w:bCs/>
          <w:u w:val="single"/>
        </w:rPr>
        <w:t>Background and Rationale:</w:t>
      </w:r>
    </w:p>
    <w:p w14:paraId="4096AE8D" w14:textId="0BD4BC80" w:rsidR="009D0033" w:rsidRDefault="009D0033" w:rsidP="0091474B">
      <w:pPr>
        <w:spacing w:before="120"/>
        <w:jc w:val="both"/>
      </w:pPr>
      <w:r>
        <w:t xml:space="preserve">The explosions at the Port of Beirut on 4 August 2020 caused widespread damage across </w:t>
      </w:r>
      <w:r w:rsidR="00B47FB7">
        <w:t>the capital</w:t>
      </w:r>
      <w:r>
        <w:t xml:space="preserve">, with initial reports of more than 170 people killed, 6,000 people injured, and more than 150 people missing. Early estimates are that the explosions left more than 300,000 people with </w:t>
      </w:r>
      <w:r w:rsidR="00BF0E01">
        <w:t>severely damaged homes</w:t>
      </w:r>
      <w:r>
        <w:t xml:space="preserve"> in the Greater Beirut area. </w:t>
      </w:r>
    </w:p>
    <w:p w14:paraId="480C48E2" w14:textId="50174970" w:rsidR="009D0033" w:rsidRDefault="009D0033" w:rsidP="0091474B">
      <w:pPr>
        <w:spacing w:before="120"/>
        <w:jc w:val="both"/>
      </w:pPr>
      <w:r>
        <w:t xml:space="preserve">Humanitarian Country Team (HCT) has established </w:t>
      </w:r>
      <w:r w:rsidR="00BF0E01">
        <w:t xml:space="preserve">a </w:t>
      </w:r>
      <w:r>
        <w:t xml:space="preserve">coordination structure for the humanitarian response to this explosion.  This </w:t>
      </w:r>
      <w:r w:rsidR="00A26F52">
        <w:t>included</w:t>
      </w:r>
      <w:r w:rsidR="001B6D18">
        <w:t xml:space="preserve"> the </w:t>
      </w:r>
      <w:r>
        <w:t xml:space="preserve">establishment of </w:t>
      </w:r>
      <w:r w:rsidR="00BF0E01">
        <w:t xml:space="preserve">an </w:t>
      </w:r>
      <w:r>
        <w:t>Emergency Operations Cell (</w:t>
      </w:r>
      <w:proofErr w:type="spellStart"/>
      <w:r>
        <w:t>EoC</w:t>
      </w:r>
      <w:proofErr w:type="spellEnd"/>
      <w:r>
        <w:t xml:space="preserve">) which reports to HCT, and 6 sectors </w:t>
      </w:r>
      <w:r w:rsidR="00BF0E01">
        <w:t>reporting in turn to the</w:t>
      </w:r>
      <w:r w:rsidR="0091474B">
        <w:t xml:space="preserve"> </w:t>
      </w:r>
      <w:proofErr w:type="spellStart"/>
      <w:proofErr w:type="gramStart"/>
      <w:r>
        <w:t>EoC</w:t>
      </w:r>
      <w:proofErr w:type="spellEnd"/>
      <w:r>
        <w:t xml:space="preserve"> </w:t>
      </w:r>
      <w:r w:rsidR="001B6D18">
        <w:t>,</w:t>
      </w:r>
      <w:proofErr w:type="gramEnd"/>
      <w:r w:rsidR="001B6D18">
        <w:t xml:space="preserve"> namely</w:t>
      </w:r>
      <w:r>
        <w:t xml:space="preserve">: Wash, Food Security, Protection, Health, Shelter, and Logistics. </w:t>
      </w:r>
    </w:p>
    <w:p w14:paraId="5476A073" w14:textId="741609D8" w:rsidR="009A763D" w:rsidRDefault="009D0033" w:rsidP="0091474B">
      <w:pPr>
        <w:spacing w:before="120"/>
        <w:jc w:val="both"/>
        <w:rPr>
          <w:b/>
          <w:lang w:val="en-US"/>
        </w:rPr>
      </w:pPr>
      <w:r>
        <w:t xml:space="preserve">As many actors especially </w:t>
      </w:r>
      <w:r w:rsidR="00BF0E01">
        <w:t>in the</w:t>
      </w:r>
      <w:r>
        <w:t xml:space="preserve"> Shelter, Food Security, and Protection sectors are planning to implement cash transfer programmes for th</w:t>
      </w:r>
      <w:r w:rsidR="00731A89">
        <w:t>e blast response</w:t>
      </w:r>
      <w:r>
        <w:t xml:space="preserve">, the need for a cash coordination was voiced at </w:t>
      </w:r>
      <w:r w:rsidR="00C5182B">
        <w:t xml:space="preserve">the </w:t>
      </w:r>
      <w:r>
        <w:t>HCT in mid-August.  This Cash Task Force aim</w:t>
      </w:r>
      <w:r w:rsidR="00C5182B">
        <w:t>s</w:t>
      </w:r>
      <w:r>
        <w:t xml:space="preserve"> to respond to th</w:t>
      </w:r>
      <w:r w:rsidR="00C5182B">
        <w:t>is need</w:t>
      </w:r>
      <w:r>
        <w:t>.</w:t>
      </w:r>
    </w:p>
    <w:p w14:paraId="056FBABC" w14:textId="1A6A49D4" w:rsidR="00DF722A" w:rsidRDefault="00DA4D53" w:rsidP="0091474B">
      <w:pPr>
        <w:spacing w:before="120"/>
        <w:jc w:val="both"/>
        <w:rPr>
          <w:bCs/>
          <w:lang w:val="en-US"/>
        </w:rPr>
      </w:pPr>
      <w:r>
        <w:rPr>
          <w:b/>
          <w:lang w:val="en-US"/>
        </w:rPr>
        <w:t xml:space="preserve">Purpose: </w:t>
      </w:r>
      <w:r>
        <w:rPr>
          <w:bCs/>
          <w:lang w:val="en-US"/>
        </w:rPr>
        <w:t xml:space="preserve">The Task Force on Emergency Cash Assistance </w:t>
      </w:r>
      <w:r w:rsidR="00CE724C">
        <w:rPr>
          <w:bCs/>
          <w:lang w:val="en-US"/>
        </w:rPr>
        <w:t>for the</w:t>
      </w:r>
      <w:r>
        <w:rPr>
          <w:bCs/>
          <w:lang w:val="en-US"/>
        </w:rPr>
        <w:t xml:space="preserve"> Beirut Blast Response i</w:t>
      </w:r>
      <w:r w:rsidR="00BD0D3E">
        <w:rPr>
          <w:bCs/>
          <w:lang w:val="en-US"/>
        </w:rPr>
        <w:t>s</w:t>
      </w:r>
      <w:r>
        <w:rPr>
          <w:bCs/>
          <w:lang w:val="en-US"/>
        </w:rPr>
        <w:t xml:space="preserve"> a temporary </w:t>
      </w:r>
      <w:r w:rsidR="00CA4DD3">
        <w:rPr>
          <w:bCs/>
          <w:lang w:val="en-US"/>
        </w:rPr>
        <w:t xml:space="preserve">thematic </w:t>
      </w:r>
      <w:r w:rsidR="00C75E64">
        <w:rPr>
          <w:bCs/>
          <w:lang w:val="en-US"/>
        </w:rPr>
        <w:t xml:space="preserve">and </w:t>
      </w:r>
      <w:r w:rsidR="008C65D9">
        <w:rPr>
          <w:bCs/>
          <w:lang w:val="en-US"/>
        </w:rPr>
        <w:t>cross</w:t>
      </w:r>
      <w:r w:rsidR="00C75E64">
        <w:rPr>
          <w:bCs/>
          <w:lang w:val="en-US"/>
        </w:rPr>
        <w:t>-</w:t>
      </w:r>
      <w:r w:rsidR="008C65D9">
        <w:rPr>
          <w:bCs/>
          <w:lang w:val="en-US"/>
        </w:rPr>
        <w:t xml:space="preserve">sectoral </w:t>
      </w:r>
      <w:r w:rsidR="00941A8A">
        <w:rPr>
          <w:bCs/>
          <w:lang w:val="en-US"/>
        </w:rPr>
        <w:t>discussion to</w:t>
      </w:r>
      <w:r>
        <w:rPr>
          <w:bCs/>
          <w:lang w:val="en-US"/>
        </w:rPr>
        <w:t xml:space="preserve"> </w:t>
      </w:r>
      <w:r w:rsidR="00CA4DD3">
        <w:rPr>
          <w:bCs/>
          <w:lang w:val="en-US"/>
        </w:rPr>
        <w:t xml:space="preserve">support sectors in their </w:t>
      </w:r>
      <w:r>
        <w:rPr>
          <w:bCs/>
          <w:lang w:val="en-US"/>
        </w:rPr>
        <w:t>coordinat</w:t>
      </w:r>
      <w:r w:rsidR="00CA4DD3">
        <w:rPr>
          <w:bCs/>
          <w:lang w:val="en-US"/>
        </w:rPr>
        <w:t xml:space="preserve">ion of </w:t>
      </w:r>
      <w:r>
        <w:rPr>
          <w:bCs/>
          <w:lang w:val="en-US"/>
        </w:rPr>
        <w:t>the cash transfers responses to target</w:t>
      </w:r>
      <w:r w:rsidR="001D4B83">
        <w:rPr>
          <w:bCs/>
          <w:lang w:val="en-US"/>
        </w:rPr>
        <w:t>ed</w:t>
      </w:r>
      <w:r>
        <w:rPr>
          <w:bCs/>
          <w:lang w:val="en-US"/>
        </w:rPr>
        <w:t xml:space="preserve"> populations affected by the Beirut Explosion of 4</w:t>
      </w:r>
      <w:r w:rsidRPr="00DA4D53">
        <w:rPr>
          <w:bCs/>
          <w:vertAlign w:val="superscript"/>
          <w:lang w:val="en-US"/>
        </w:rPr>
        <w:t>th</w:t>
      </w:r>
      <w:r>
        <w:rPr>
          <w:bCs/>
          <w:lang w:val="en-US"/>
        </w:rPr>
        <w:t xml:space="preserve"> August 2020. </w:t>
      </w:r>
    </w:p>
    <w:p w14:paraId="067F3802" w14:textId="2529AA0C" w:rsidR="007C4484" w:rsidRDefault="00EF07D4" w:rsidP="0091474B">
      <w:pPr>
        <w:spacing w:before="120"/>
        <w:jc w:val="both"/>
        <w:rPr>
          <w:bCs/>
          <w:lang w:val="en-US"/>
        </w:rPr>
      </w:pPr>
      <w:r>
        <w:rPr>
          <w:bCs/>
          <w:lang w:val="en-US"/>
        </w:rPr>
        <w:t xml:space="preserve">The </w:t>
      </w:r>
      <w:r w:rsidR="00A61FC4">
        <w:rPr>
          <w:bCs/>
          <w:lang w:val="en-US"/>
        </w:rPr>
        <w:t xml:space="preserve">Task Force is linked to the newly established emergency response coordination </w:t>
      </w:r>
      <w:r w:rsidR="00941A8A">
        <w:rPr>
          <w:bCs/>
          <w:lang w:val="en-US"/>
        </w:rPr>
        <w:t>structure, to</w:t>
      </w:r>
      <w:r w:rsidR="007C4484">
        <w:rPr>
          <w:bCs/>
          <w:lang w:val="en-US"/>
        </w:rPr>
        <w:t xml:space="preserve"> respond to the Beirut Blast</w:t>
      </w:r>
      <w:r w:rsidR="00DF722A">
        <w:rPr>
          <w:bCs/>
          <w:lang w:val="en-US"/>
        </w:rPr>
        <w:t>. T</w:t>
      </w:r>
      <w:r w:rsidR="004531E5">
        <w:rPr>
          <w:bCs/>
          <w:lang w:val="en-US"/>
        </w:rPr>
        <w:t xml:space="preserve">o ensure that coordination </w:t>
      </w:r>
      <w:r w:rsidR="001A2009">
        <w:rPr>
          <w:bCs/>
          <w:lang w:val="en-US"/>
        </w:rPr>
        <w:t xml:space="preserve">remains as </w:t>
      </w:r>
      <w:r w:rsidR="00941A8A">
        <w:rPr>
          <w:bCs/>
          <w:lang w:val="en-US"/>
        </w:rPr>
        <w:t>focused</w:t>
      </w:r>
      <w:r w:rsidR="001A2009">
        <w:rPr>
          <w:bCs/>
          <w:lang w:val="en-US"/>
        </w:rPr>
        <w:t xml:space="preserve"> and lean as possible, t</w:t>
      </w:r>
      <w:r w:rsidR="00A61FC4">
        <w:rPr>
          <w:bCs/>
          <w:lang w:val="en-US"/>
        </w:rPr>
        <w:t xml:space="preserve">he Task Force </w:t>
      </w:r>
      <w:r w:rsidR="001A2009">
        <w:rPr>
          <w:bCs/>
          <w:lang w:val="en-US"/>
        </w:rPr>
        <w:t>will remain</w:t>
      </w:r>
      <w:r w:rsidR="00A61FC4">
        <w:rPr>
          <w:bCs/>
          <w:lang w:val="en-US"/>
        </w:rPr>
        <w:t xml:space="preserve"> </w:t>
      </w:r>
      <w:r w:rsidR="007C4484">
        <w:rPr>
          <w:bCs/>
          <w:lang w:val="en-US"/>
        </w:rPr>
        <w:t>time limited and w</w:t>
      </w:r>
      <w:r w:rsidR="00DF722A">
        <w:rPr>
          <w:bCs/>
          <w:lang w:val="en-US"/>
        </w:rPr>
        <w:t xml:space="preserve">ill not </w:t>
      </w:r>
      <w:r w:rsidR="008C65D9">
        <w:rPr>
          <w:bCs/>
          <w:lang w:val="en-US"/>
        </w:rPr>
        <w:t>substitute to the substantive programmatic dis</w:t>
      </w:r>
      <w:r w:rsidR="005A1DFE">
        <w:rPr>
          <w:bCs/>
          <w:lang w:val="en-US"/>
        </w:rPr>
        <w:t>c</w:t>
      </w:r>
      <w:r w:rsidR="008C65D9">
        <w:rPr>
          <w:bCs/>
          <w:lang w:val="en-US"/>
        </w:rPr>
        <w:t xml:space="preserve">ussions taking place in each sector for which cash is used as a modality.  In addition, this taskforce will not </w:t>
      </w:r>
      <w:r w:rsidR="00DF722A">
        <w:rPr>
          <w:bCs/>
          <w:lang w:val="en-US"/>
        </w:rPr>
        <w:t>replace ongoing discussions on cash</w:t>
      </w:r>
      <w:r w:rsidR="00520D89">
        <w:rPr>
          <w:bCs/>
          <w:lang w:val="en-US"/>
        </w:rPr>
        <w:t xml:space="preserve"> </w:t>
      </w:r>
      <w:r w:rsidR="00387C96">
        <w:rPr>
          <w:bCs/>
          <w:lang w:val="en-US"/>
        </w:rPr>
        <w:t>which take place</w:t>
      </w:r>
      <w:r w:rsidR="00DF722A">
        <w:rPr>
          <w:bCs/>
          <w:lang w:val="en-US"/>
        </w:rPr>
        <w:t xml:space="preserve"> </w:t>
      </w:r>
      <w:r w:rsidR="008C65D9">
        <w:rPr>
          <w:bCs/>
          <w:lang w:val="en-US"/>
        </w:rPr>
        <w:t xml:space="preserve">in the context of the LCRP </w:t>
      </w:r>
      <w:r w:rsidR="00941A8A">
        <w:rPr>
          <w:bCs/>
          <w:lang w:val="en-US"/>
        </w:rPr>
        <w:t>and other</w:t>
      </w:r>
      <w:r w:rsidR="00DF722A">
        <w:rPr>
          <w:bCs/>
          <w:lang w:val="en-US"/>
        </w:rPr>
        <w:t xml:space="preserve"> for</w:t>
      </w:r>
      <w:r w:rsidR="008C65D9">
        <w:rPr>
          <w:bCs/>
          <w:lang w:val="en-US"/>
        </w:rPr>
        <w:t>a</w:t>
      </w:r>
      <w:r w:rsidR="00DF722A">
        <w:rPr>
          <w:bCs/>
          <w:lang w:val="en-US"/>
        </w:rPr>
        <w:t xml:space="preserve"> </w:t>
      </w:r>
      <w:r w:rsidR="008C65D9">
        <w:rPr>
          <w:bCs/>
          <w:lang w:val="en-US"/>
        </w:rPr>
        <w:t xml:space="preserve">such as the Social </w:t>
      </w:r>
      <w:r w:rsidR="00941A8A">
        <w:rPr>
          <w:bCs/>
          <w:lang w:val="en-US"/>
        </w:rPr>
        <w:t>Safety Net</w:t>
      </w:r>
      <w:r w:rsidR="008C65D9">
        <w:rPr>
          <w:bCs/>
          <w:lang w:val="en-US"/>
        </w:rPr>
        <w:t xml:space="preserve"> </w:t>
      </w:r>
      <w:r w:rsidR="00387C96">
        <w:rPr>
          <w:bCs/>
          <w:lang w:val="en-US"/>
        </w:rPr>
        <w:t>Forum</w:t>
      </w:r>
      <w:r w:rsidR="00941A8A">
        <w:rPr>
          <w:bCs/>
          <w:lang w:val="en-US"/>
        </w:rPr>
        <w:t xml:space="preserve">. </w:t>
      </w:r>
    </w:p>
    <w:p w14:paraId="1CC7B277" w14:textId="4A6D42CF" w:rsidR="00DA4D53" w:rsidRDefault="00DA4D53" w:rsidP="0091474B">
      <w:pPr>
        <w:spacing w:before="120"/>
        <w:jc w:val="both"/>
      </w:pPr>
      <w:r w:rsidRPr="00DA4D53">
        <w:t xml:space="preserve">The </w:t>
      </w:r>
      <w:r w:rsidRPr="00DA4D53">
        <w:rPr>
          <w:b/>
        </w:rPr>
        <w:t xml:space="preserve">Overall Objective </w:t>
      </w:r>
      <w:r w:rsidRPr="00DA4D53">
        <w:t>of the</w:t>
      </w:r>
      <w:r w:rsidR="007C4484">
        <w:t xml:space="preserve"> task force</w:t>
      </w:r>
      <w:r w:rsidRPr="00DA4D53">
        <w:t xml:space="preserve"> is to </w:t>
      </w:r>
      <w:r w:rsidR="00CA4DD3">
        <w:t xml:space="preserve">look at complementarity and </w:t>
      </w:r>
      <w:r w:rsidR="007C4484">
        <w:t xml:space="preserve">ensure </w:t>
      </w:r>
      <w:r w:rsidR="000D27FC">
        <w:t>coherence</w:t>
      </w:r>
      <w:r w:rsidR="007C4484">
        <w:t xml:space="preserve"> of</w:t>
      </w:r>
      <w:r w:rsidR="007C4484" w:rsidRPr="00DA4D53">
        <w:t xml:space="preserve"> cash</w:t>
      </w:r>
      <w:r>
        <w:t xml:space="preserve"> transfers </w:t>
      </w:r>
      <w:r w:rsidR="007C4484">
        <w:t xml:space="preserve">that aim to meet the diverse needs of the population affected by the Beirut Blast.  This task force will </w:t>
      </w:r>
      <w:r w:rsidR="00132908">
        <w:t xml:space="preserve">focus on cash transfer modalities to </w:t>
      </w:r>
      <w:r w:rsidR="007C4484">
        <w:t xml:space="preserve">support </w:t>
      </w:r>
      <w:r w:rsidR="00EF07D4">
        <w:t>S</w:t>
      </w:r>
      <w:r w:rsidR="007C4484">
        <w:t>ector</w:t>
      </w:r>
      <w:r w:rsidR="00EF07D4">
        <w:t>s</w:t>
      </w:r>
      <w:r w:rsidR="007C4484">
        <w:t xml:space="preserve"> </w:t>
      </w:r>
      <w:r w:rsidR="00F83E1D">
        <w:t>in</w:t>
      </w:r>
      <w:r w:rsidR="007C4484">
        <w:t xml:space="preserve"> deliver</w:t>
      </w:r>
      <w:r w:rsidR="00F83E1D">
        <w:t>ing</w:t>
      </w:r>
      <w:r w:rsidR="007C4484">
        <w:t xml:space="preserve"> cash transfers </w:t>
      </w:r>
      <w:r w:rsidR="00EF07D4">
        <w:t xml:space="preserve">using </w:t>
      </w:r>
      <w:r w:rsidR="008C65D9">
        <w:t xml:space="preserve">a </w:t>
      </w:r>
      <w:r w:rsidR="007C4484">
        <w:t xml:space="preserve">do no harm </w:t>
      </w:r>
      <w:r w:rsidR="00EF07D4">
        <w:t>and conflict sensitive approach</w:t>
      </w:r>
      <w:r w:rsidR="007C4484">
        <w:t xml:space="preserve">. </w:t>
      </w:r>
    </w:p>
    <w:p w14:paraId="11E01499" w14:textId="3CCBEDC1" w:rsidR="000A60DB" w:rsidRDefault="00DA4D53" w:rsidP="0091474B">
      <w:pPr>
        <w:spacing w:before="120"/>
        <w:jc w:val="both"/>
      </w:pPr>
      <w:r w:rsidRPr="00DA4D53">
        <w:t xml:space="preserve">The </w:t>
      </w:r>
      <w:r w:rsidR="00AC5997">
        <w:rPr>
          <w:b/>
        </w:rPr>
        <w:t>Scope of work</w:t>
      </w:r>
      <w:r w:rsidRPr="00DA4D53">
        <w:t xml:space="preserve"> </w:t>
      </w:r>
      <w:r w:rsidR="00AC5997">
        <w:t xml:space="preserve">is </w:t>
      </w:r>
      <w:r>
        <w:t xml:space="preserve">as follows: </w:t>
      </w:r>
    </w:p>
    <w:p w14:paraId="7B5C2CCD" w14:textId="7A20796E" w:rsidR="001C6F54" w:rsidRDefault="00DE70BA" w:rsidP="0091474B">
      <w:pPr>
        <w:pStyle w:val="ListParagraph"/>
        <w:numPr>
          <w:ilvl w:val="0"/>
          <w:numId w:val="2"/>
        </w:numPr>
        <w:spacing w:before="120"/>
        <w:jc w:val="both"/>
      </w:pPr>
      <w:r>
        <w:t>Ensure</w:t>
      </w:r>
      <w:r w:rsidR="001C6F54">
        <w:t xml:space="preserve"> equitable access to cash assistance for all beneficiaries while using do no harm principles</w:t>
      </w:r>
      <w:r w:rsidR="001F7B94">
        <w:t xml:space="preserve"> and conflict sensitive approaches</w:t>
      </w:r>
      <w:r w:rsidR="001C6F54">
        <w:t>;</w:t>
      </w:r>
    </w:p>
    <w:p w14:paraId="67162252" w14:textId="7272549C" w:rsidR="00DA4D53" w:rsidRDefault="000A357C" w:rsidP="0091474B">
      <w:pPr>
        <w:pStyle w:val="ListParagraph"/>
        <w:numPr>
          <w:ilvl w:val="0"/>
          <w:numId w:val="2"/>
        </w:numPr>
        <w:spacing w:before="120"/>
        <w:jc w:val="both"/>
      </w:pPr>
      <w:r>
        <w:t>Provide a space to collectively examine and agree on how to ensure the complementarity</w:t>
      </w:r>
      <w:r w:rsidR="00416116">
        <w:t>, across sectors,</w:t>
      </w:r>
      <w:r>
        <w:t xml:space="preserve"> of cas</w:t>
      </w:r>
      <w:r w:rsidR="00C12411">
        <w:t xml:space="preserve">h transfers to </w:t>
      </w:r>
      <w:r w:rsidR="00DA4D53" w:rsidRPr="000A357C">
        <w:t>blast affected populations</w:t>
      </w:r>
      <w:r w:rsidR="00EB1AC1">
        <w:t xml:space="preserve"> and a</w:t>
      </w:r>
      <w:r w:rsidR="002753EB">
        <w:t>void duplicatio</w:t>
      </w:r>
      <w:r w:rsidR="00D76734">
        <w:t>n</w:t>
      </w:r>
      <w:r w:rsidR="00EB1AC1">
        <w:t>.</w:t>
      </w:r>
    </w:p>
    <w:p w14:paraId="4450C539" w14:textId="77777777" w:rsidR="005114DC" w:rsidRDefault="00907FD4" w:rsidP="0091474B">
      <w:pPr>
        <w:pStyle w:val="ListParagraph"/>
        <w:numPr>
          <w:ilvl w:val="0"/>
          <w:numId w:val="2"/>
        </w:numPr>
        <w:spacing w:before="120"/>
        <w:jc w:val="both"/>
      </w:pPr>
      <w:r>
        <w:t xml:space="preserve">Achieve harmonization </w:t>
      </w:r>
      <w:r w:rsidR="00EB665F">
        <w:t xml:space="preserve">and coherence </w:t>
      </w:r>
      <w:r>
        <w:t>of cash assistance as requested by participants, including transfer value</w:t>
      </w:r>
      <w:r w:rsidR="00D556F9">
        <w:t>, modalit</w:t>
      </w:r>
      <w:r w:rsidR="002D3E2F">
        <w:t>ies</w:t>
      </w:r>
      <w:r>
        <w:t xml:space="preserve"> and currency of assistance;</w:t>
      </w:r>
    </w:p>
    <w:p w14:paraId="7AC7A277" w14:textId="584708CE" w:rsidR="00871F0C" w:rsidRDefault="00931378" w:rsidP="0091474B">
      <w:pPr>
        <w:pStyle w:val="ListParagraph"/>
        <w:numPr>
          <w:ilvl w:val="0"/>
          <w:numId w:val="2"/>
        </w:numPr>
        <w:spacing w:before="120"/>
        <w:jc w:val="both"/>
      </w:pPr>
      <w:r>
        <w:t xml:space="preserve">Support agencies </w:t>
      </w:r>
      <w:r w:rsidR="00D24AE3">
        <w:t xml:space="preserve">and </w:t>
      </w:r>
      <w:r>
        <w:t>Sector</w:t>
      </w:r>
      <w:r w:rsidR="00D24AE3">
        <w:t>s</w:t>
      </w:r>
      <w:r>
        <w:t xml:space="preserve"> by providing </w:t>
      </w:r>
      <w:r w:rsidR="007C75F2">
        <w:t xml:space="preserve">technical </w:t>
      </w:r>
      <w:r>
        <w:t>advice on cash assistance procedures</w:t>
      </w:r>
      <w:r w:rsidR="00D627A7">
        <w:t xml:space="preserve"> and modalities</w:t>
      </w:r>
      <w:r>
        <w:t xml:space="preserve"> with a focus on assistance tracking by using common tools for information management/establishment of a single data depository; </w:t>
      </w:r>
    </w:p>
    <w:p w14:paraId="0B28EFF0" w14:textId="77777777" w:rsidR="00E73880" w:rsidRDefault="00E73880" w:rsidP="0091474B">
      <w:pPr>
        <w:pStyle w:val="ListParagraph"/>
        <w:numPr>
          <w:ilvl w:val="0"/>
          <w:numId w:val="2"/>
        </w:numPr>
        <w:spacing w:before="120"/>
        <w:jc w:val="both"/>
      </w:pPr>
      <w:r>
        <w:lastRenderedPageBreak/>
        <w:t>Report and map activities in the sectors using standardized approaches and formats;</w:t>
      </w:r>
    </w:p>
    <w:p w14:paraId="57B0B0EE" w14:textId="22B6E541" w:rsidR="00871F0C" w:rsidRDefault="00871F0C" w:rsidP="0091474B">
      <w:pPr>
        <w:pStyle w:val="ListParagraph"/>
        <w:numPr>
          <w:ilvl w:val="0"/>
          <w:numId w:val="2"/>
        </w:numPr>
        <w:spacing w:before="120"/>
        <w:jc w:val="both"/>
      </w:pPr>
      <w:r>
        <w:t xml:space="preserve">Strengthen the flow of information from the sectors to the beneficiaries, government and donors to ensure transparency and accountability, in a manner that ensures data protection and respect to privacy; </w:t>
      </w:r>
    </w:p>
    <w:p w14:paraId="5D85BA5D" w14:textId="66353788" w:rsidR="000A3AFF" w:rsidRDefault="000A3AFF" w:rsidP="0091474B">
      <w:pPr>
        <w:pStyle w:val="ListParagraph"/>
        <w:numPr>
          <w:ilvl w:val="0"/>
          <w:numId w:val="2"/>
        </w:numPr>
        <w:spacing w:before="120"/>
        <w:jc w:val="both"/>
      </w:pPr>
      <w:r>
        <w:t xml:space="preserve">Update regularly sectors and the </w:t>
      </w:r>
      <w:proofErr w:type="spellStart"/>
      <w:r>
        <w:t>EoC</w:t>
      </w:r>
      <w:proofErr w:type="spellEnd"/>
      <w:r>
        <w:t xml:space="preserve"> on the Cash Task Force activities;</w:t>
      </w:r>
    </w:p>
    <w:p w14:paraId="22A046CE" w14:textId="488DE0AC" w:rsidR="00D240FC" w:rsidRDefault="00D240FC" w:rsidP="0091474B">
      <w:pPr>
        <w:pStyle w:val="ListParagraph"/>
        <w:numPr>
          <w:ilvl w:val="0"/>
          <w:numId w:val="2"/>
        </w:numPr>
        <w:spacing w:before="120"/>
        <w:jc w:val="both"/>
      </w:pPr>
      <w:r w:rsidRPr="00FB0C9F">
        <w:t>Shar</w:t>
      </w:r>
      <w:r>
        <w:t>e</w:t>
      </w:r>
      <w:r w:rsidRPr="00FB0C9F">
        <w:t xml:space="preserve"> lessons learnt, promot</w:t>
      </w:r>
      <w:r>
        <w:t>e</w:t>
      </w:r>
      <w:r w:rsidRPr="00FB0C9F">
        <w:t xml:space="preserve"> best practices and programme complementarities</w:t>
      </w:r>
    </w:p>
    <w:p w14:paraId="1DBA07E4" w14:textId="6657BD45" w:rsidR="008371F0" w:rsidRDefault="00372486" w:rsidP="0091474B">
      <w:pPr>
        <w:pStyle w:val="ListParagraph"/>
        <w:numPr>
          <w:ilvl w:val="0"/>
          <w:numId w:val="2"/>
        </w:numPr>
        <w:spacing w:before="120"/>
        <w:jc w:val="both"/>
      </w:pPr>
      <w:r>
        <w:t xml:space="preserve">Ensure </w:t>
      </w:r>
      <w:r w:rsidR="00922508">
        <w:t xml:space="preserve">that </w:t>
      </w:r>
      <w:r>
        <w:t xml:space="preserve">an exit strategy is </w:t>
      </w:r>
      <w:r w:rsidR="00941A8A">
        <w:t>defined,</w:t>
      </w:r>
      <w:r>
        <w:t xml:space="preserve"> and linkages are made to existing frameworks (LCRP/Social Safety Nets </w:t>
      </w:r>
      <w:r w:rsidR="0051144D">
        <w:t>Forum</w:t>
      </w:r>
      <w:r w:rsidR="00931378">
        <w:t>/BB recovery framework</w:t>
      </w:r>
      <w:r>
        <w:t xml:space="preserve">) </w:t>
      </w:r>
    </w:p>
    <w:p w14:paraId="37F57227" w14:textId="7615CC3E" w:rsidR="00931378" w:rsidRPr="00931378" w:rsidRDefault="00931378" w:rsidP="0091474B">
      <w:pPr>
        <w:spacing w:before="120"/>
        <w:jc w:val="both"/>
      </w:pPr>
      <w:r>
        <w:rPr>
          <w:b/>
          <w:bCs/>
        </w:rPr>
        <w:t xml:space="preserve">Beneficiaries: </w:t>
      </w:r>
      <w:r>
        <w:t xml:space="preserve">Cash assistance will be provided to </w:t>
      </w:r>
      <w:r w:rsidR="00EF07D4">
        <w:t xml:space="preserve">Lebanese, refugees and migrants living in the areas identified through the zone analysis based on criteria determined by the Sectors. Effort will be made to aid priority neighbourhoods first (identified through the rapid poverty analysis). </w:t>
      </w:r>
    </w:p>
    <w:p w14:paraId="392A2970" w14:textId="77777777" w:rsidR="001A0579" w:rsidRDefault="008324FA" w:rsidP="0091474B">
      <w:pPr>
        <w:spacing w:before="120"/>
        <w:jc w:val="both"/>
      </w:pPr>
      <w:r w:rsidRPr="008324FA">
        <w:rPr>
          <w:b/>
          <w:bCs/>
        </w:rPr>
        <w:t>Membership</w:t>
      </w:r>
      <w:r>
        <w:t xml:space="preserve">: </w:t>
      </w:r>
    </w:p>
    <w:p w14:paraId="34EACCAF" w14:textId="77777777" w:rsidR="001A0579" w:rsidRDefault="001A0579" w:rsidP="0091474B">
      <w:pPr>
        <w:pStyle w:val="ListParagraph"/>
        <w:numPr>
          <w:ilvl w:val="0"/>
          <w:numId w:val="6"/>
        </w:numPr>
        <w:spacing w:before="120"/>
        <w:jc w:val="both"/>
      </w:pPr>
      <w:r>
        <w:t>O</w:t>
      </w:r>
      <w:r w:rsidR="008324FA">
        <w:t>rganizations</w:t>
      </w:r>
      <w:r w:rsidR="00EF07D4">
        <w:t xml:space="preserve"> with cash transfer programmes aimed at assisting beneficiaries in the affected zones </w:t>
      </w:r>
      <w:r w:rsidR="008324FA">
        <w:t xml:space="preserve">are welcome to participate in this forum. </w:t>
      </w:r>
    </w:p>
    <w:p w14:paraId="4613F249" w14:textId="77777777" w:rsidR="001A0579" w:rsidRDefault="007B029F" w:rsidP="0091474B">
      <w:pPr>
        <w:pStyle w:val="ListParagraph"/>
        <w:numPr>
          <w:ilvl w:val="0"/>
          <w:numId w:val="6"/>
        </w:numPr>
        <w:spacing w:before="120"/>
        <w:jc w:val="both"/>
      </w:pPr>
      <w:r>
        <w:t xml:space="preserve">Sector </w:t>
      </w:r>
      <w:r w:rsidR="0051144D">
        <w:t>coordinators</w:t>
      </w:r>
      <w:r>
        <w:t xml:space="preserve"> or their alternates </w:t>
      </w:r>
    </w:p>
    <w:p w14:paraId="75E52A56" w14:textId="665E9E7C" w:rsidR="008324FA" w:rsidRDefault="001A0579" w:rsidP="0091474B">
      <w:pPr>
        <w:pStyle w:val="ListParagraph"/>
        <w:numPr>
          <w:ilvl w:val="0"/>
          <w:numId w:val="6"/>
        </w:numPr>
        <w:spacing w:before="120"/>
        <w:jc w:val="both"/>
      </w:pPr>
      <w:r>
        <w:t xml:space="preserve">Representatives from the </w:t>
      </w:r>
      <w:r w:rsidR="0051144D">
        <w:t>LCRP and Social Safety net Forum</w:t>
      </w:r>
    </w:p>
    <w:p w14:paraId="589FC361" w14:textId="3A1D9E39" w:rsidR="008324FA" w:rsidRDefault="008324FA" w:rsidP="0091474B">
      <w:pPr>
        <w:spacing w:before="120"/>
        <w:jc w:val="both"/>
      </w:pPr>
      <w:r w:rsidRPr="008324FA">
        <w:rPr>
          <w:b/>
          <w:bCs/>
        </w:rPr>
        <w:t>Leadership</w:t>
      </w:r>
      <w:r>
        <w:t xml:space="preserve">: The Task Force will be co-led by </w:t>
      </w:r>
      <w:r w:rsidR="00372486">
        <w:t>the Louise agencies (UNHCR/UNICEF/</w:t>
      </w:r>
      <w:r w:rsidR="001C6F54">
        <w:t>WFP)</w:t>
      </w:r>
      <w:r w:rsidR="00F3619E">
        <w:t xml:space="preserve">, through the Louise </w:t>
      </w:r>
      <w:r w:rsidR="00336717">
        <w:t>Project Manager,</w:t>
      </w:r>
      <w:r w:rsidR="001C6F54">
        <w:t xml:space="preserve"> and</w:t>
      </w:r>
      <w:r>
        <w:t xml:space="preserve"> an NGO representative</w:t>
      </w:r>
      <w:r w:rsidR="007027E9">
        <w:t xml:space="preserve"> with </w:t>
      </w:r>
      <w:r w:rsidR="00C87704">
        <w:t>a</w:t>
      </w:r>
      <w:r w:rsidR="007027E9">
        <w:t xml:space="preserve"> good track record in cash-based interventions and also substantially contributing the delivery of cash assistance in the ongoing emergency response</w:t>
      </w:r>
      <w:r>
        <w:t xml:space="preserve">. </w:t>
      </w:r>
    </w:p>
    <w:p w14:paraId="63F84263" w14:textId="77777777" w:rsidR="0091474B" w:rsidRDefault="008324FA" w:rsidP="0091474B">
      <w:pPr>
        <w:spacing w:before="120"/>
        <w:jc w:val="both"/>
      </w:pPr>
      <w:r>
        <w:rPr>
          <w:b/>
          <w:bCs/>
        </w:rPr>
        <w:t xml:space="preserve">Meetings, Reporting and </w:t>
      </w:r>
      <w:r w:rsidRPr="008324FA">
        <w:rPr>
          <w:b/>
          <w:bCs/>
        </w:rPr>
        <w:t>Communication Mechanisms</w:t>
      </w:r>
      <w:r>
        <w:t xml:space="preserve">: The Task Force will meet every week on </w:t>
      </w:r>
      <w:r w:rsidR="001C6F54">
        <w:t>Tuesdays</w:t>
      </w:r>
      <w:r>
        <w:t xml:space="preserve"> at </w:t>
      </w:r>
      <w:r w:rsidR="00F7099C">
        <w:t>3pm</w:t>
      </w:r>
      <w:r>
        <w:t xml:space="preserve">. </w:t>
      </w:r>
      <w:r w:rsidR="0051144D">
        <w:t xml:space="preserve">Ad-hoc </w:t>
      </w:r>
      <w:r w:rsidR="001C6F54">
        <w:t xml:space="preserve">meetings will be organized when necessary. </w:t>
      </w:r>
      <w:r w:rsidR="001A0579">
        <w:t>Minutes will be taken and circulated to</w:t>
      </w:r>
      <w:r>
        <w:t xml:space="preserve"> </w:t>
      </w:r>
      <w:r w:rsidR="001A0579">
        <w:t>all</w:t>
      </w:r>
      <w:r>
        <w:t xml:space="preserve"> members. Additionally, the Task Force leads will communicate outcomes of the deliberations through the </w:t>
      </w:r>
      <w:r w:rsidR="001C6F54">
        <w:t xml:space="preserve">Emergency Operations Cell (EOC) and existing coordination forums where relevant. </w:t>
      </w:r>
    </w:p>
    <w:p w14:paraId="6881F9F6" w14:textId="3C92BA0C" w:rsidR="003D6730" w:rsidRPr="0072411F" w:rsidRDefault="003D6730" w:rsidP="0091474B">
      <w:pPr>
        <w:spacing w:before="120"/>
        <w:jc w:val="both"/>
      </w:pPr>
      <w:r w:rsidRPr="0072411F">
        <w:rPr>
          <w:b/>
          <w:bCs/>
        </w:rPr>
        <w:t>Accountabilities</w:t>
      </w:r>
    </w:p>
    <w:p w14:paraId="5D5F32E0" w14:textId="66303DB5" w:rsidR="003D6730" w:rsidRPr="0072411F" w:rsidRDefault="003D6730" w:rsidP="0091474B">
      <w:pPr>
        <w:spacing w:after="120"/>
        <w:jc w:val="both"/>
      </w:pPr>
      <w:r w:rsidRPr="0072411F">
        <w:t xml:space="preserve">Consistent with the </w:t>
      </w:r>
      <w:r>
        <w:t xml:space="preserve">Beirut Blast Emergency Response/Appeal and the coordination structure established thereof, </w:t>
      </w:r>
      <w:r w:rsidRPr="0072411F">
        <w:t xml:space="preserve">the </w:t>
      </w:r>
      <w:r w:rsidR="00D32422">
        <w:t>Task Force</w:t>
      </w:r>
      <w:r w:rsidRPr="0072411F">
        <w:t xml:space="preserve"> (co-) leads are accountable to:</w:t>
      </w:r>
    </w:p>
    <w:p w14:paraId="282F936B" w14:textId="4164E47E" w:rsidR="003D6730" w:rsidRPr="0072411F" w:rsidRDefault="00D32422" w:rsidP="0091474B">
      <w:pPr>
        <w:numPr>
          <w:ilvl w:val="0"/>
          <w:numId w:val="3"/>
        </w:numPr>
        <w:spacing w:after="120"/>
        <w:jc w:val="both"/>
      </w:pPr>
      <w:r>
        <w:t>Emergency Operations Cell</w:t>
      </w:r>
      <w:r w:rsidR="00132908">
        <w:t xml:space="preserve"> (</w:t>
      </w:r>
      <w:proofErr w:type="spellStart"/>
      <w:r w:rsidR="00132908">
        <w:t>EoC</w:t>
      </w:r>
      <w:proofErr w:type="spellEnd"/>
      <w:r w:rsidR="00132908">
        <w:t>)</w:t>
      </w:r>
      <w:r w:rsidR="003D6730" w:rsidRPr="0072411F">
        <w:t xml:space="preserve"> through </w:t>
      </w:r>
      <w:r>
        <w:t>OCHA-established emergency</w:t>
      </w:r>
      <w:r w:rsidR="003D6730" w:rsidRPr="0072411F">
        <w:t xml:space="preserve"> inter-sectoral coordination structure;</w:t>
      </w:r>
    </w:p>
    <w:p w14:paraId="443733C2" w14:textId="6467A9F2" w:rsidR="003D6730" w:rsidRPr="0072411F" w:rsidRDefault="003D6730" w:rsidP="0091474B">
      <w:pPr>
        <w:numPr>
          <w:ilvl w:val="0"/>
          <w:numId w:val="3"/>
        </w:numPr>
        <w:spacing w:after="120"/>
        <w:jc w:val="both"/>
      </w:pPr>
      <w:r w:rsidRPr="0072411F">
        <w:t xml:space="preserve">The </w:t>
      </w:r>
      <w:r w:rsidR="00D32422">
        <w:t>Task Force</w:t>
      </w:r>
      <w:r w:rsidRPr="0072411F">
        <w:t xml:space="preserve"> members</w:t>
      </w:r>
      <w:r w:rsidR="00205417">
        <w:t xml:space="preserve"> and parent sectors</w:t>
      </w:r>
    </w:p>
    <w:p w14:paraId="64A63900" w14:textId="77777777" w:rsidR="0091474B" w:rsidRDefault="003D6730" w:rsidP="0091474B">
      <w:pPr>
        <w:numPr>
          <w:ilvl w:val="0"/>
          <w:numId w:val="3"/>
        </w:numPr>
        <w:spacing w:after="120"/>
        <w:jc w:val="both"/>
      </w:pPr>
      <w:r w:rsidRPr="0072411F">
        <w:t>The institutions and individuals benefiting from the sector interventions in line with the Humanitarian Accountability Principles;</w:t>
      </w:r>
    </w:p>
    <w:p w14:paraId="74E72D91" w14:textId="4B786422" w:rsidR="008324FA" w:rsidRDefault="008324FA" w:rsidP="0091474B">
      <w:pPr>
        <w:spacing w:after="120"/>
        <w:jc w:val="both"/>
      </w:pPr>
      <w:r w:rsidRPr="0091474B">
        <w:rPr>
          <w:b/>
          <w:bCs/>
        </w:rPr>
        <w:t>Current Members</w:t>
      </w:r>
      <w:r>
        <w:t xml:space="preserve">: (List of organizations – </w:t>
      </w:r>
      <w:r w:rsidRPr="009E50DD">
        <w:rPr>
          <w:highlight w:val="yellow"/>
        </w:rPr>
        <w:t>could be an annex</w:t>
      </w:r>
      <w:r>
        <w:t>)</w:t>
      </w:r>
    </w:p>
    <w:p w14:paraId="38593978" w14:textId="77777777" w:rsidR="007265B6" w:rsidRPr="007265B6" w:rsidRDefault="007265B6" w:rsidP="0091474B">
      <w:pPr>
        <w:spacing w:before="120"/>
        <w:jc w:val="both"/>
        <w:rPr>
          <w:lang w:val="en-US"/>
        </w:rPr>
      </w:pPr>
    </w:p>
    <w:sectPr w:rsidR="007265B6" w:rsidRPr="007265B6" w:rsidSect="00F540A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D5997" w14:textId="77777777" w:rsidR="00B567E8" w:rsidRDefault="00B567E8" w:rsidP="007265B6">
      <w:r>
        <w:separator/>
      </w:r>
    </w:p>
  </w:endnote>
  <w:endnote w:type="continuationSeparator" w:id="0">
    <w:p w14:paraId="4D73BAC3" w14:textId="77777777" w:rsidR="00B567E8" w:rsidRDefault="00B567E8" w:rsidP="0072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9C2C" w14:textId="77777777" w:rsidR="00F969FE" w:rsidRDefault="00F96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43DF" w14:textId="77777777" w:rsidR="00F969FE" w:rsidRDefault="00F96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8920" w14:textId="77777777" w:rsidR="00F969FE" w:rsidRDefault="00F96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7F36" w14:textId="77777777" w:rsidR="00B567E8" w:rsidRDefault="00B567E8" w:rsidP="007265B6">
      <w:r>
        <w:separator/>
      </w:r>
    </w:p>
  </w:footnote>
  <w:footnote w:type="continuationSeparator" w:id="0">
    <w:p w14:paraId="38E94DFD" w14:textId="77777777" w:rsidR="00B567E8" w:rsidRDefault="00B567E8" w:rsidP="0072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2490" w14:textId="4874DAD4" w:rsidR="00F969FE" w:rsidRDefault="00B567E8">
    <w:pPr>
      <w:pStyle w:val="Header"/>
    </w:pPr>
    <w:r>
      <w:rPr>
        <w:noProof/>
      </w:rPr>
      <w:pict w14:anchorId="45FBD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752153" o:sp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9128" w14:textId="10AB400E" w:rsidR="007265B6" w:rsidRPr="007265B6" w:rsidRDefault="00B567E8" w:rsidP="007265B6">
    <w:pPr>
      <w:pStyle w:val="Header"/>
      <w:jc w:val="center"/>
      <w:rPr>
        <w:sz w:val="20"/>
        <w:szCs w:val="20"/>
        <w:lang w:val="en-US"/>
      </w:rPr>
    </w:pPr>
    <w:r>
      <w:rPr>
        <w:noProof/>
      </w:rPr>
      <w:pict w14:anchorId="14C512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752154" o:spid="_x0000_s2050" type="#_x0000_t136" alt="" style="position:absolute;left:0;text-align:left;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7265B6" w:rsidRPr="007265B6">
      <w:rPr>
        <w:sz w:val="20"/>
        <w:szCs w:val="20"/>
        <w:lang w:val="en-US"/>
      </w:rPr>
      <w:t>Terms of Reference for Beirut Cash Assistance Taskforce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9604" w14:textId="38ADFF3C" w:rsidR="00F969FE" w:rsidRDefault="00B567E8">
    <w:pPr>
      <w:pStyle w:val="Header"/>
    </w:pPr>
    <w:r>
      <w:rPr>
        <w:noProof/>
      </w:rPr>
      <w:pict w14:anchorId="062581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752152"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4724F"/>
    <w:multiLevelType w:val="hybridMultilevel"/>
    <w:tmpl w:val="2568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311C2"/>
    <w:multiLevelType w:val="hybridMultilevel"/>
    <w:tmpl w:val="E26E531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060D5"/>
    <w:multiLevelType w:val="hybridMultilevel"/>
    <w:tmpl w:val="45286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A058A6"/>
    <w:multiLevelType w:val="hybridMultilevel"/>
    <w:tmpl w:val="26F0344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D43B3"/>
    <w:multiLevelType w:val="multilevel"/>
    <w:tmpl w:val="E0C47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7E6AD2"/>
    <w:multiLevelType w:val="hybridMultilevel"/>
    <w:tmpl w:val="9F925226"/>
    <w:lvl w:ilvl="0" w:tplc="0809000F">
      <w:start w:val="1"/>
      <w:numFmt w:val="decimal"/>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6BA2C4BC">
      <w:start w:val="1"/>
      <w:numFmt w:val="bullet"/>
      <w:lvlText w:val="–"/>
      <w:lvlJc w:val="left"/>
      <w:pPr>
        <w:tabs>
          <w:tab w:val="num" w:pos="576"/>
        </w:tabs>
        <w:ind w:left="576" w:hanging="360"/>
      </w:pPr>
      <w:rPr>
        <w:rFonts w:ascii="Calibri" w:hAnsi="Calibri" w:hint="default"/>
        <w:sz w:val="16"/>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5"/>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B6"/>
    <w:rsid w:val="0007443F"/>
    <w:rsid w:val="00086DAC"/>
    <w:rsid w:val="000A357C"/>
    <w:rsid w:val="000A3AFF"/>
    <w:rsid w:val="000A60DB"/>
    <w:rsid w:val="000C2335"/>
    <w:rsid w:val="000D27FC"/>
    <w:rsid w:val="000E606C"/>
    <w:rsid w:val="000F07E3"/>
    <w:rsid w:val="00116503"/>
    <w:rsid w:val="0012440B"/>
    <w:rsid w:val="00132908"/>
    <w:rsid w:val="001A0579"/>
    <w:rsid w:val="001A2009"/>
    <w:rsid w:val="001B6D18"/>
    <w:rsid w:val="001C6F54"/>
    <w:rsid w:val="001D4B83"/>
    <w:rsid w:val="001F7B94"/>
    <w:rsid w:val="00205417"/>
    <w:rsid w:val="00244B8E"/>
    <w:rsid w:val="00263B52"/>
    <w:rsid w:val="00270B66"/>
    <w:rsid w:val="002753EB"/>
    <w:rsid w:val="002976A4"/>
    <w:rsid w:val="002D0E51"/>
    <w:rsid w:val="002D3E2F"/>
    <w:rsid w:val="002E6ED2"/>
    <w:rsid w:val="00300661"/>
    <w:rsid w:val="00336717"/>
    <w:rsid w:val="00372486"/>
    <w:rsid w:val="00387C96"/>
    <w:rsid w:val="00395EA0"/>
    <w:rsid w:val="003A4962"/>
    <w:rsid w:val="003B5F46"/>
    <w:rsid w:val="003D6730"/>
    <w:rsid w:val="003E7ADC"/>
    <w:rsid w:val="00416116"/>
    <w:rsid w:val="0042647C"/>
    <w:rsid w:val="0044672A"/>
    <w:rsid w:val="00447A9B"/>
    <w:rsid w:val="004531E5"/>
    <w:rsid w:val="0048314D"/>
    <w:rsid w:val="0049203E"/>
    <w:rsid w:val="004D2844"/>
    <w:rsid w:val="005112F8"/>
    <w:rsid w:val="0051144D"/>
    <w:rsid w:val="005114DC"/>
    <w:rsid w:val="00520D89"/>
    <w:rsid w:val="00537DD1"/>
    <w:rsid w:val="00562D84"/>
    <w:rsid w:val="005A1DFE"/>
    <w:rsid w:val="00627515"/>
    <w:rsid w:val="00681573"/>
    <w:rsid w:val="006835E0"/>
    <w:rsid w:val="00683EF6"/>
    <w:rsid w:val="006919BF"/>
    <w:rsid w:val="006E17EC"/>
    <w:rsid w:val="00701E17"/>
    <w:rsid w:val="007027E9"/>
    <w:rsid w:val="007265B6"/>
    <w:rsid w:val="00731A89"/>
    <w:rsid w:val="00734504"/>
    <w:rsid w:val="007407CE"/>
    <w:rsid w:val="00776CC8"/>
    <w:rsid w:val="007B029F"/>
    <w:rsid w:val="007C4484"/>
    <w:rsid w:val="007C56C6"/>
    <w:rsid w:val="007C75F2"/>
    <w:rsid w:val="007E588B"/>
    <w:rsid w:val="008324FA"/>
    <w:rsid w:val="008371F0"/>
    <w:rsid w:val="00871F0C"/>
    <w:rsid w:val="00881B85"/>
    <w:rsid w:val="00891C4D"/>
    <w:rsid w:val="008C65D9"/>
    <w:rsid w:val="008E2D40"/>
    <w:rsid w:val="009057BA"/>
    <w:rsid w:val="00907FD4"/>
    <w:rsid w:val="0091474B"/>
    <w:rsid w:val="00922508"/>
    <w:rsid w:val="00931378"/>
    <w:rsid w:val="00933C6F"/>
    <w:rsid w:val="00941A8A"/>
    <w:rsid w:val="00956B99"/>
    <w:rsid w:val="0097194A"/>
    <w:rsid w:val="009837FE"/>
    <w:rsid w:val="00994667"/>
    <w:rsid w:val="009A763D"/>
    <w:rsid w:val="009D0033"/>
    <w:rsid w:val="009E50DD"/>
    <w:rsid w:val="00A10E4F"/>
    <w:rsid w:val="00A26F52"/>
    <w:rsid w:val="00A30F7D"/>
    <w:rsid w:val="00A61FC4"/>
    <w:rsid w:val="00A64D00"/>
    <w:rsid w:val="00A83B73"/>
    <w:rsid w:val="00AC5997"/>
    <w:rsid w:val="00AF0F68"/>
    <w:rsid w:val="00B14061"/>
    <w:rsid w:val="00B47FB7"/>
    <w:rsid w:val="00B567E8"/>
    <w:rsid w:val="00BA1C2A"/>
    <w:rsid w:val="00BB748B"/>
    <w:rsid w:val="00BD0D3E"/>
    <w:rsid w:val="00BF0E01"/>
    <w:rsid w:val="00C12411"/>
    <w:rsid w:val="00C5182B"/>
    <w:rsid w:val="00C75E64"/>
    <w:rsid w:val="00C87704"/>
    <w:rsid w:val="00CA4DD3"/>
    <w:rsid w:val="00CE724C"/>
    <w:rsid w:val="00D010BF"/>
    <w:rsid w:val="00D131C4"/>
    <w:rsid w:val="00D213A9"/>
    <w:rsid w:val="00D240FC"/>
    <w:rsid w:val="00D24AE3"/>
    <w:rsid w:val="00D32422"/>
    <w:rsid w:val="00D556F9"/>
    <w:rsid w:val="00D61EBA"/>
    <w:rsid w:val="00D627A7"/>
    <w:rsid w:val="00D70EA6"/>
    <w:rsid w:val="00D74CD3"/>
    <w:rsid w:val="00D76734"/>
    <w:rsid w:val="00DA4D53"/>
    <w:rsid w:val="00DA53FB"/>
    <w:rsid w:val="00DA6DDE"/>
    <w:rsid w:val="00DB38E1"/>
    <w:rsid w:val="00DE3287"/>
    <w:rsid w:val="00DE70BA"/>
    <w:rsid w:val="00DF722A"/>
    <w:rsid w:val="00E73880"/>
    <w:rsid w:val="00E82284"/>
    <w:rsid w:val="00E85C97"/>
    <w:rsid w:val="00E90410"/>
    <w:rsid w:val="00EB1AC1"/>
    <w:rsid w:val="00EB665F"/>
    <w:rsid w:val="00EF07D4"/>
    <w:rsid w:val="00EF3F1E"/>
    <w:rsid w:val="00F3619E"/>
    <w:rsid w:val="00F4511F"/>
    <w:rsid w:val="00F540A9"/>
    <w:rsid w:val="00F623C2"/>
    <w:rsid w:val="00F67F5F"/>
    <w:rsid w:val="00F7099C"/>
    <w:rsid w:val="00F83E1D"/>
    <w:rsid w:val="00F969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38F27E"/>
  <w15:chartTrackingRefBased/>
  <w15:docId w15:val="{AA55B1CC-3354-FE44-B523-D02212D9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5B6"/>
    <w:pPr>
      <w:tabs>
        <w:tab w:val="center" w:pos="4680"/>
        <w:tab w:val="right" w:pos="9360"/>
      </w:tabs>
    </w:pPr>
  </w:style>
  <w:style w:type="character" w:customStyle="1" w:styleId="HeaderChar">
    <w:name w:val="Header Char"/>
    <w:basedOn w:val="DefaultParagraphFont"/>
    <w:link w:val="Header"/>
    <w:uiPriority w:val="99"/>
    <w:rsid w:val="007265B6"/>
    <w:rPr>
      <w:lang w:val="en-GB"/>
    </w:rPr>
  </w:style>
  <w:style w:type="paragraph" w:styleId="Footer">
    <w:name w:val="footer"/>
    <w:basedOn w:val="Normal"/>
    <w:link w:val="FooterChar"/>
    <w:uiPriority w:val="99"/>
    <w:unhideWhenUsed/>
    <w:rsid w:val="007265B6"/>
    <w:pPr>
      <w:tabs>
        <w:tab w:val="center" w:pos="4680"/>
        <w:tab w:val="right" w:pos="9360"/>
      </w:tabs>
    </w:pPr>
  </w:style>
  <w:style w:type="character" w:customStyle="1" w:styleId="FooterChar">
    <w:name w:val="Footer Char"/>
    <w:basedOn w:val="DefaultParagraphFont"/>
    <w:link w:val="Footer"/>
    <w:uiPriority w:val="99"/>
    <w:rsid w:val="007265B6"/>
    <w:rPr>
      <w:lang w:val="en-GB"/>
    </w:rPr>
  </w:style>
  <w:style w:type="paragraph" w:styleId="ListParagraph">
    <w:name w:val="List Paragraph"/>
    <w:basedOn w:val="Normal"/>
    <w:uiPriority w:val="34"/>
    <w:qFormat/>
    <w:rsid w:val="00DA4D53"/>
    <w:pPr>
      <w:ind w:left="720"/>
      <w:contextualSpacing/>
    </w:pPr>
  </w:style>
  <w:style w:type="paragraph" w:styleId="BalloonText">
    <w:name w:val="Balloon Text"/>
    <w:basedOn w:val="Normal"/>
    <w:link w:val="BalloonTextChar"/>
    <w:uiPriority w:val="99"/>
    <w:semiHidden/>
    <w:unhideWhenUsed/>
    <w:rsid w:val="00CA4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DD3"/>
    <w:rPr>
      <w:rFonts w:ascii="Segoe UI" w:hAnsi="Segoe UI" w:cs="Segoe UI"/>
      <w:sz w:val="18"/>
      <w:szCs w:val="18"/>
      <w:lang w:val="en-GB"/>
    </w:rPr>
  </w:style>
  <w:style w:type="character" w:styleId="CommentReference">
    <w:name w:val="annotation reference"/>
    <w:basedOn w:val="DefaultParagraphFont"/>
    <w:uiPriority w:val="99"/>
    <w:semiHidden/>
    <w:unhideWhenUsed/>
    <w:rsid w:val="000A60DB"/>
    <w:rPr>
      <w:sz w:val="16"/>
      <w:szCs w:val="16"/>
    </w:rPr>
  </w:style>
  <w:style w:type="paragraph" w:styleId="CommentText">
    <w:name w:val="annotation text"/>
    <w:basedOn w:val="Normal"/>
    <w:link w:val="CommentTextChar"/>
    <w:uiPriority w:val="99"/>
    <w:semiHidden/>
    <w:unhideWhenUsed/>
    <w:rsid w:val="000A60DB"/>
    <w:rPr>
      <w:sz w:val="20"/>
      <w:szCs w:val="20"/>
    </w:rPr>
  </w:style>
  <w:style w:type="character" w:customStyle="1" w:styleId="CommentTextChar">
    <w:name w:val="Comment Text Char"/>
    <w:basedOn w:val="DefaultParagraphFont"/>
    <w:link w:val="CommentText"/>
    <w:uiPriority w:val="99"/>
    <w:semiHidden/>
    <w:rsid w:val="000A60DB"/>
    <w:rPr>
      <w:sz w:val="20"/>
      <w:szCs w:val="20"/>
      <w:lang w:val="en-GB"/>
    </w:rPr>
  </w:style>
  <w:style w:type="paragraph" w:styleId="CommentSubject">
    <w:name w:val="annotation subject"/>
    <w:basedOn w:val="CommentText"/>
    <w:next w:val="CommentText"/>
    <w:link w:val="CommentSubjectChar"/>
    <w:uiPriority w:val="99"/>
    <w:semiHidden/>
    <w:unhideWhenUsed/>
    <w:rsid w:val="000A60DB"/>
    <w:rPr>
      <w:b/>
      <w:bCs/>
    </w:rPr>
  </w:style>
  <w:style w:type="character" w:customStyle="1" w:styleId="CommentSubjectChar">
    <w:name w:val="Comment Subject Char"/>
    <w:basedOn w:val="CommentTextChar"/>
    <w:link w:val="CommentSubject"/>
    <w:uiPriority w:val="99"/>
    <w:semiHidden/>
    <w:rsid w:val="000A60DB"/>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89426">
      <w:bodyDiv w:val="1"/>
      <w:marLeft w:val="0"/>
      <w:marRight w:val="0"/>
      <w:marTop w:val="0"/>
      <w:marBottom w:val="0"/>
      <w:divBdr>
        <w:top w:val="none" w:sz="0" w:space="0" w:color="auto"/>
        <w:left w:val="none" w:sz="0" w:space="0" w:color="auto"/>
        <w:bottom w:val="none" w:sz="0" w:space="0" w:color="auto"/>
        <w:right w:val="none" w:sz="0" w:space="0" w:color="auto"/>
      </w:divBdr>
    </w:div>
    <w:div w:id="332223551">
      <w:bodyDiv w:val="1"/>
      <w:marLeft w:val="0"/>
      <w:marRight w:val="0"/>
      <w:marTop w:val="0"/>
      <w:marBottom w:val="0"/>
      <w:divBdr>
        <w:top w:val="none" w:sz="0" w:space="0" w:color="auto"/>
        <w:left w:val="none" w:sz="0" w:space="0" w:color="auto"/>
        <w:bottom w:val="none" w:sz="0" w:space="0" w:color="auto"/>
        <w:right w:val="none" w:sz="0" w:space="0" w:color="auto"/>
      </w:divBdr>
    </w:div>
    <w:div w:id="1358431490">
      <w:bodyDiv w:val="1"/>
      <w:marLeft w:val="0"/>
      <w:marRight w:val="0"/>
      <w:marTop w:val="0"/>
      <w:marBottom w:val="0"/>
      <w:divBdr>
        <w:top w:val="none" w:sz="0" w:space="0" w:color="auto"/>
        <w:left w:val="none" w:sz="0" w:space="0" w:color="auto"/>
        <w:bottom w:val="none" w:sz="0" w:space="0" w:color="auto"/>
        <w:right w:val="none" w:sz="0" w:space="0" w:color="auto"/>
      </w:divBdr>
    </w:div>
    <w:div w:id="18923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1" ma:contentTypeDescription="Create a new document." ma:contentTypeScope="" ma:versionID="67b7672b75fb475b7804f2c6d293a8fa">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157edefd003065130abb10942882c410"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9B77-60CF-4E5C-89F7-D6B1725FF910}"/>
</file>

<file path=customXml/itemProps2.xml><?xml version="1.0" encoding="utf-8"?>
<ds:datastoreItem xmlns:ds="http://schemas.openxmlformats.org/officeDocument/2006/customXml" ds:itemID="{981FFB08-B0E0-4718-A009-723D6BBAEB77}">
  <ds:schemaRefs>
    <ds:schemaRef ds:uri="http://schemas.microsoft.com/sharepoint/v3/contenttype/forms"/>
  </ds:schemaRefs>
</ds:datastoreItem>
</file>

<file path=customXml/itemProps3.xml><?xml version="1.0" encoding="utf-8"?>
<ds:datastoreItem xmlns:ds="http://schemas.openxmlformats.org/officeDocument/2006/customXml" ds:itemID="{7C0DACB0-D07E-4644-AF05-96067BCFC4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FC6FAD-F219-43D9-86CA-464382AA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Moses Inwani</dc:creator>
  <cp:keywords/>
  <dc:description/>
  <cp:lastModifiedBy>Iuliana Antonia Vignolo Palincas</cp:lastModifiedBy>
  <cp:revision>2</cp:revision>
  <dcterms:created xsi:type="dcterms:W3CDTF">2021-01-19T10:47:00Z</dcterms:created>
  <dcterms:modified xsi:type="dcterms:W3CDTF">2021-01-19T10:47:00Z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