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0F4FAC" w:rsidRPr="000F4FAC" w:rsidRDefault="000F4FAC" w:rsidP="000F4FAC">
            <w:pPr>
              <w:rPr>
                <w:color w:val="FFFFFF" w:themeColor="background1"/>
                <w:sz w:val="24"/>
                <w:szCs w:val="24"/>
              </w:rPr>
            </w:pPr>
            <w:r w:rsidRPr="000F4FAC">
              <w:rPr>
                <w:color w:val="FFFFFF" w:themeColor="background1"/>
                <w:sz w:val="24"/>
                <w:szCs w:val="24"/>
              </w:rPr>
              <w:t>Field Coordination Support Section (FCSS)</w:t>
            </w:r>
          </w:p>
          <w:p w:rsidR="00EF4170" w:rsidRDefault="003127F0" w:rsidP="000F4FAC">
            <w:pPr>
              <w:rPr>
                <w:color w:val="FFFFFF" w:themeColor="background1"/>
                <w:sz w:val="22"/>
              </w:rPr>
            </w:pPr>
            <w:r>
              <w:rPr>
                <w:color w:val="FFFFFF" w:themeColor="background1"/>
                <w:sz w:val="22"/>
              </w:rPr>
              <w:t>United Nations Disaster Assessment and Coordination (UNDAC) team</w:t>
            </w:r>
          </w:p>
          <w:p w:rsidR="003127F0" w:rsidRDefault="003127F0" w:rsidP="000F4FAC">
            <w:pPr>
              <w:rPr>
                <w:color w:val="FFFFFF" w:themeColor="background1"/>
                <w:sz w:val="22"/>
              </w:rPr>
            </w:pPr>
          </w:p>
          <w:p w:rsidR="0083286A" w:rsidRDefault="00EA1584" w:rsidP="0083286A">
            <w:r w:rsidRPr="003127F0">
              <w:rPr>
                <w:b/>
                <w:noProof/>
                <w:sz w:val="24"/>
                <w:szCs w:val="24"/>
                <w:lang w:val="en-GB" w:eastAsia="en-GB"/>
              </w:rPr>
              <w:drawing>
                <wp:anchor distT="0" distB="144145" distL="144145" distR="0" simplePos="0" relativeHeight="251691008" behindDoc="0" locked="0" layoutInCell="1" allowOverlap="1" wp14:anchorId="11FBD7A8" wp14:editId="058D153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86A">
              <w:rPr>
                <w:b/>
                <w:color w:val="FFFFFF" w:themeColor="background1"/>
                <w:sz w:val="24"/>
                <w:szCs w:val="24"/>
              </w:rPr>
              <w:t xml:space="preserve">Use of mission expenditures: </w:t>
            </w:r>
            <w:r w:rsidR="0083286A">
              <w:t xml:space="preserve"> </w:t>
            </w:r>
          </w:p>
          <w:p w:rsidR="000F4FAC" w:rsidRPr="003127F0" w:rsidRDefault="0083286A" w:rsidP="0083286A">
            <w:pPr>
              <w:rPr>
                <w:b/>
                <w:color w:val="FFFFFF" w:themeColor="background1"/>
                <w:sz w:val="24"/>
                <w:szCs w:val="24"/>
              </w:rPr>
            </w:pPr>
            <w:r w:rsidRPr="0083286A">
              <w:rPr>
                <w:b/>
                <w:color w:val="FFFFFF" w:themeColor="background1"/>
                <w:sz w:val="24"/>
                <w:szCs w:val="24"/>
              </w:rPr>
              <w:t>Financial Authorization (FA)</w:t>
            </w:r>
            <w:r w:rsidR="00411D95">
              <w:rPr>
                <w:b/>
                <w:color w:val="FFFFFF" w:themeColor="background1"/>
                <w:sz w:val="24"/>
                <w:szCs w:val="24"/>
              </w:rPr>
              <w:t xml:space="preserve"> and Cash Advance</w:t>
            </w:r>
            <w:r w:rsidRPr="0083286A">
              <w:rPr>
                <w:b/>
                <w:color w:val="FFFFFF" w:themeColor="background1"/>
                <w:sz w:val="24"/>
                <w:szCs w:val="24"/>
              </w:rPr>
              <w:t xml:space="preserve"> to cover mission incidental operating  expenses  </w:t>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6D723E" w:rsidRDefault="003127F0" w:rsidP="000F4FAC">
      <w:pPr>
        <w:pStyle w:val="ochacontentheading"/>
        <w:ind w:right="-427"/>
      </w:pPr>
      <w:r>
        <w:t xml:space="preserve">General </w:t>
      </w:r>
      <w:r w:rsidR="0083286A">
        <w:t xml:space="preserve">guidance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61"/>
      </w:tblGrid>
      <w:tr w:rsidR="00214550" w:rsidTr="00214550">
        <w:tc>
          <w:tcPr>
            <w:tcW w:w="1668" w:type="dxa"/>
          </w:tcPr>
          <w:p w:rsidR="00214550" w:rsidRPr="003127F0" w:rsidRDefault="0083286A" w:rsidP="00214550">
            <w:pPr>
              <w:pStyle w:val="ochacontentheading2"/>
            </w:pPr>
            <w:r>
              <w:t>Purpose</w:t>
            </w:r>
          </w:p>
          <w:p w:rsidR="00214550" w:rsidRDefault="00214550" w:rsidP="003127F0">
            <w:pPr>
              <w:pStyle w:val="ochacontentheading2"/>
              <w:pBdr>
                <w:bottom w:val="none" w:sz="0" w:space="0" w:color="auto"/>
              </w:pBdr>
            </w:pPr>
          </w:p>
        </w:tc>
        <w:tc>
          <w:tcPr>
            <w:tcW w:w="8961" w:type="dxa"/>
          </w:tcPr>
          <w:p w:rsidR="00734A8A" w:rsidRDefault="00734A8A" w:rsidP="00734A8A">
            <w:pPr>
              <w:pStyle w:val="ochabulletpoint"/>
            </w:pPr>
            <w:r>
              <w:t xml:space="preserve">The funds may be used for expenditures that are critical to achieve the mission objectives. In case of doubts, always consult with FCSS. </w:t>
            </w:r>
          </w:p>
          <w:p w:rsidR="0083286A" w:rsidRDefault="00734A8A" w:rsidP="00734A8A">
            <w:pPr>
              <w:pStyle w:val="ochabulletpoint"/>
            </w:pPr>
            <w:r>
              <w:t xml:space="preserve">As a general rule, always consider how to solve the problem with locally available means first. </w:t>
            </w:r>
          </w:p>
        </w:tc>
      </w:tr>
      <w:tr w:rsidR="002D4334" w:rsidTr="00214550">
        <w:tc>
          <w:tcPr>
            <w:tcW w:w="1668" w:type="dxa"/>
          </w:tcPr>
          <w:p w:rsidR="002D4334" w:rsidRDefault="002D4334" w:rsidP="00214550">
            <w:pPr>
              <w:pStyle w:val="ochacontentheading2"/>
            </w:pPr>
            <w:r>
              <w:t>Amount</w:t>
            </w:r>
          </w:p>
        </w:tc>
        <w:tc>
          <w:tcPr>
            <w:tcW w:w="8961" w:type="dxa"/>
          </w:tcPr>
          <w:p w:rsidR="002D4334" w:rsidRPr="0083286A" w:rsidRDefault="002D4334" w:rsidP="00411D95">
            <w:pPr>
              <w:pStyle w:val="ochabulletpoint"/>
            </w:pPr>
            <w:r>
              <w:t xml:space="preserve">The amount for a typical mission is USD 5,000; depending on the mission and on the operational and logistical environment the initial financial cable </w:t>
            </w:r>
            <w:r w:rsidR="00411D95">
              <w:t xml:space="preserve">or Cash Advance </w:t>
            </w:r>
            <w:r>
              <w:t xml:space="preserve">may be higher. If the need is identified during the mission, OCHA FCSS can send additional funds. </w:t>
            </w:r>
          </w:p>
        </w:tc>
      </w:tr>
      <w:tr w:rsidR="002D4334" w:rsidTr="00214550">
        <w:tc>
          <w:tcPr>
            <w:tcW w:w="1668" w:type="dxa"/>
          </w:tcPr>
          <w:p w:rsidR="002D4334" w:rsidRDefault="002D4334" w:rsidP="00214550">
            <w:pPr>
              <w:pStyle w:val="ochacontentheading2"/>
            </w:pPr>
            <w:r>
              <w:t>NB!</w:t>
            </w:r>
          </w:p>
        </w:tc>
        <w:tc>
          <w:tcPr>
            <w:tcW w:w="8961" w:type="dxa"/>
          </w:tcPr>
          <w:p w:rsidR="002D4334" w:rsidRDefault="002D4334" w:rsidP="00BA4F53">
            <w:pPr>
              <w:pStyle w:val="ochabulletpoint"/>
            </w:pPr>
            <w:r w:rsidRPr="00F67A83">
              <w:rPr>
                <w:u w:val="single"/>
              </w:rPr>
              <w:t>Under no circumstances</w:t>
            </w:r>
            <w:r>
              <w:t>, the team should incur expenditures</w:t>
            </w:r>
            <w:r w:rsidR="00F67A83">
              <w:t xml:space="preserve"> or financial engagements (such as a car rental)</w:t>
            </w:r>
            <w:r>
              <w:t xml:space="preserve"> that go beyond the amount of the financial authorization</w:t>
            </w:r>
            <w:r w:rsidR="00411D95">
              <w:t xml:space="preserve"> or the cash advance received</w:t>
            </w:r>
            <w:r>
              <w:t xml:space="preserve">. If more funds are needed, this needs to be raised with FCSS and FCSS will send additional funds through another financial authorization. </w:t>
            </w:r>
          </w:p>
        </w:tc>
      </w:tr>
    </w:tbl>
    <w:p w:rsidR="003127F0" w:rsidRPr="003127F0" w:rsidRDefault="0083286A" w:rsidP="003127F0">
      <w:pPr>
        <w:pStyle w:val="ochacontentheading"/>
        <w:ind w:right="-427"/>
      </w:pPr>
      <w:r>
        <w:t>Management of the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8958"/>
      </w:tblGrid>
      <w:tr w:rsidR="00411D95" w:rsidTr="00214550">
        <w:tc>
          <w:tcPr>
            <w:tcW w:w="1671" w:type="dxa"/>
          </w:tcPr>
          <w:p w:rsidR="00411D95" w:rsidRDefault="00411D95" w:rsidP="00AB14D6">
            <w:pPr>
              <w:pStyle w:val="ochacontentheading2"/>
            </w:pPr>
            <w:r>
              <w:t>Financial authorization</w:t>
            </w:r>
          </w:p>
          <w:p w:rsidR="00411D95" w:rsidRDefault="00411D95" w:rsidP="00AB14D6">
            <w:pPr>
              <w:pStyle w:val="ochacontentheading2"/>
            </w:pPr>
            <w:r>
              <w:t>Cash Advance</w:t>
            </w:r>
          </w:p>
        </w:tc>
        <w:tc>
          <w:tcPr>
            <w:tcW w:w="8958" w:type="dxa"/>
          </w:tcPr>
          <w:p w:rsidR="00411D95" w:rsidRDefault="00411D95" w:rsidP="00F16949">
            <w:pPr>
              <w:pStyle w:val="ochabulletpoint"/>
              <w:ind w:left="317"/>
            </w:pPr>
            <w:r>
              <w:t xml:space="preserve">OCHA FCSS will send a financial authorization (sometimes also called a financial cable) to the UNDP country office instructing UNDP to issue a payment of the amount of the cable to the identified person of the team, the “custodian”. </w:t>
            </w:r>
          </w:p>
          <w:p w:rsidR="00411D95" w:rsidRDefault="00411D95" w:rsidP="00411D95">
            <w:pPr>
              <w:pStyle w:val="ochabulletpoint"/>
              <w:numPr>
                <w:ilvl w:val="0"/>
                <w:numId w:val="0"/>
              </w:numPr>
              <w:ind w:left="317"/>
            </w:pPr>
          </w:p>
          <w:p w:rsidR="00411D95" w:rsidRDefault="00411D95" w:rsidP="00F16949">
            <w:pPr>
              <w:pStyle w:val="ochabulletpoint"/>
              <w:ind w:left="317"/>
            </w:pPr>
            <w:r>
              <w:t>OCHA will provide the staff member departing from Geneva with a cash advance that amounts typically to US$ 5,000 maximum. In some special cases the amount can be increased upon decision from the Chief of Finance or his/her Deputy.</w:t>
            </w:r>
          </w:p>
        </w:tc>
      </w:tr>
      <w:tr w:rsidR="00411D95" w:rsidTr="00214550">
        <w:tc>
          <w:tcPr>
            <w:tcW w:w="1671" w:type="dxa"/>
          </w:tcPr>
          <w:p w:rsidR="00411D95" w:rsidRPr="00533F7E" w:rsidRDefault="00411D95" w:rsidP="00214550">
            <w:pPr>
              <w:pStyle w:val="ochacontentheading2"/>
            </w:pPr>
            <w:r>
              <w:t xml:space="preserve">Custodian </w:t>
            </w:r>
          </w:p>
        </w:tc>
        <w:tc>
          <w:tcPr>
            <w:tcW w:w="8958" w:type="dxa"/>
          </w:tcPr>
          <w:p w:rsidR="00411D95" w:rsidRDefault="00411D95" w:rsidP="002D4334">
            <w:pPr>
              <w:pStyle w:val="ochabulletpoint"/>
              <w:ind w:left="317"/>
            </w:pPr>
            <w:r>
              <w:t xml:space="preserve">Normally, the custodian is an OCHA staff member on the team; in many cases, the Team Leader. </w:t>
            </w:r>
          </w:p>
          <w:p w:rsidR="00411D95" w:rsidRDefault="00411D95" w:rsidP="002D4334">
            <w:pPr>
              <w:pStyle w:val="ochabulletpoint"/>
              <w:ind w:left="317"/>
            </w:pPr>
            <w:r>
              <w:t xml:space="preserve">The custodian has overall accountability towards UNDP and OCHA for the management of the funds. </w:t>
            </w:r>
          </w:p>
          <w:p w:rsidR="00411D95" w:rsidRDefault="00411D95" w:rsidP="002D4334">
            <w:pPr>
              <w:pStyle w:val="ochabulletpoint"/>
              <w:ind w:left="317"/>
            </w:pPr>
            <w:r w:rsidRPr="002D4334">
              <w:t>In case</w:t>
            </w:r>
            <w:r>
              <w:t xml:space="preserve"> the mission requires</w:t>
            </w:r>
            <w:r w:rsidRPr="002D4334">
              <w:t xml:space="preserve"> the custodian to provide another</w:t>
            </w:r>
            <w:r>
              <w:t xml:space="preserve"> team</w:t>
            </w:r>
            <w:r w:rsidRPr="002D4334">
              <w:t xml:space="preserve"> member</w:t>
            </w:r>
            <w:r>
              <w:t xml:space="preserve"> (</w:t>
            </w:r>
            <w:proofErr w:type="spellStart"/>
            <w:r>
              <w:t>ie</w:t>
            </w:r>
            <w:proofErr w:type="spellEnd"/>
            <w:r>
              <w:t>. a team member going to the field, out of the capital) with part of the cash</w:t>
            </w:r>
            <w:r w:rsidRPr="002D4334">
              <w:t xml:space="preserve">, it is important to know that the custodian </w:t>
            </w:r>
            <w:r>
              <w:t>remains overall</w:t>
            </w:r>
            <w:r w:rsidRPr="002D4334">
              <w:t xml:space="preserve"> responsible and accountable for the whole amount received, regardless whether </w:t>
            </w:r>
            <w:r>
              <w:t>s/</w:t>
            </w:r>
            <w:r w:rsidRPr="002D4334">
              <w:t>he has delegated part of it to another UNDAC member.</w:t>
            </w:r>
          </w:p>
        </w:tc>
      </w:tr>
      <w:tr w:rsidR="00411D95" w:rsidTr="00214550">
        <w:tc>
          <w:tcPr>
            <w:tcW w:w="1671" w:type="dxa"/>
          </w:tcPr>
          <w:p w:rsidR="00411D95" w:rsidRDefault="00411D95" w:rsidP="00CC4EEB">
            <w:pPr>
              <w:pStyle w:val="ochacontentheading2"/>
              <w:pBdr>
                <w:bottom w:val="none" w:sz="0" w:space="0" w:color="auto"/>
              </w:pBdr>
            </w:pPr>
            <w:r>
              <w:t>Keeping track</w:t>
            </w:r>
          </w:p>
        </w:tc>
        <w:tc>
          <w:tcPr>
            <w:tcW w:w="8958" w:type="dxa"/>
          </w:tcPr>
          <w:p w:rsidR="00753882" w:rsidRDefault="00411D95" w:rsidP="00C564C4">
            <w:pPr>
              <w:pStyle w:val="ochabulletpoint"/>
              <w:ind w:left="317"/>
            </w:pPr>
            <w:r>
              <w:t xml:space="preserve">Original invoices for all types of purchases should be kept and returned to UNDP when handing over the financial report at the end of the mission. In case UNDP does not accept the invoices, you should first send a scanned version and then the originals to FCSS. </w:t>
            </w:r>
          </w:p>
          <w:p w:rsidR="00411D95" w:rsidRDefault="00411D95" w:rsidP="00C564C4">
            <w:pPr>
              <w:pStyle w:val="ochabulletpoint"/>
              <w:ind w:left="317"/>
            </w:pPr>
            <w:r>
              <w:t xml:space="preserve">In case the amount received is a cash advance, the staff member will submit original bills </w:t>
            </w:r>
            <w:r w:rsidR="00753882">
              <w:t>and expenditure report to OCHA-ASB Geneva</w:t>
            </w:r>
          </w:p>
          <w:p w:rsidR="00411D95" w:rsidRPr="00214550" w:rsidRDefault="00411D95" w:rsidP="00734A8A">
            <w:pPr>
              <w:pStyle w:val="ochabulletpoint"/>
              <w:ind w:left="317"/>
            </w:pPr>
            <w:r>
              <w:t xml:space="preserve">You should use the provided </w:t>
            </w:r>
            <w:hyperlink r:id="rId13" w:history="1">
              <w:r w:rsidRPr="00425E11">
                <w:rPr>
                  <w:rStyle w:val="Hyperlink"/>
                </w:rPr>
                <w:t>excel sheet</w:t>
              </w:r>
            </w:hyperlink>
            <w:r>
              <w:t xml:space="preserve"> to keep track of the expenditures. </w:t>
            </w:r>
          </w:p>
        </w:tc>
      </w:tr>
    </w:tbl>
    <w:p w:rsidR="00F16949" w:rsidRPr="003127F0" w:rsidRDefault="00F16949" w:rsidP="00F16949">
      <w:pPr>
        <w:pStyle w:val="ochacontentheading"/>
        <w:ind w:right="-427"/>
      </w:pPr>
      <w:r>
        <w:t>Type of expenditures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8958"/>
      </w:tblGrid>
      <w:tr w:rsidR="00F16949" w:rsidTr="0054564E">
        <w:tc>
          <w:tcPr>
            <w:tcW w:w="1671" w:type="dxa"/>
          </w:tcPr>
          <w:p w:rsidR="00F16949" w:rsidRDefault="00F16949" w:rsidP="0054564E">
            <w:pPr>
              <w:pStyle w:val="ochacontentheading2"/>
            </w:pPr>
            <w:r>
              <w:t>General</w:t>
            </w:r>
          </w:p>
          <w:p w:rsidR="00F16949" w:rsidRDefault="00F16949" w:rsidP="0054564E">
            <w:pPr>
              <w:pStyle w:val="ochacontentheading2"/>
              <w:pBdr>
                <w:bottom w:val="none" w:sz="0" w:space="0" w:color="auto"/>
              </w:pBdr>
            </w:pPr>
          </w:p>
        </w:tc>
        <w:tc>
          <w:tcPr>
            <w:tcW w:w="8958" w:type="dxa"/>
          </w:tcPr>
          <w:p w:rsidR="00F16949" w:rsidRDefault="00F16949" w:rsidP="00F16949">
            <w:pPr>
              <w:pStyle w:val="ochabulletpoint"/>
            </w:pPr>
            <w:r>
              <w:t xml:space="preserve">The funds may be used for expenditures that are critical to achieve the mission objectives. In case of doubts, always consult with FCSS. </w:t>
            </w:r>
          </w:p>
          <w:p w:rsidR="00BA4F53" w:rsidRDefault="00BA4F53" w:rsidP="00F16949">
            <w:pPr>
              <w:pStyle w:val="ochabulletpoint"/>
            </w:pPr>
            <w:r>
              <w:t>The 3 types of expenditures typically authorized are:</w:t>
            </w:r>
          </w:p>
          <w:p w:rsidR="00BA4F53" w:rsidRDefault="00BA4F53" w:rsidP="00BA4F53">
            <w:pPr>
              <w:pStyle w:val="ochabulletpoint"/>
              <w:numPr>
                <w:ilvl w:val="1"/>
                <w:numId w:val="2"/>
              </w:numPr>
            </w:pPr>
            <w:r>
              <w:t xml:space="preserve">local transportation, </w:t>
            </w:r>
          </w:p>
          <w:p w:rsidR="00BA4F53" w:rsidRDefault="00BA4F53" w:rsidP="00BA4F53">
            <w:pPr>
              <w:pStyle w:val="ochabulletpoint"/>
              <w:numPr>
                <w:ilvl w:val="1"/>
                <w:numId w:val="2"/>
              </w:numPr>
            </w:pPr>
            <w:r>
              <w:t xml:space="preserve">communications, and </w:t>
            </w:r>
          </w:p>
          <w:p w:rsidR="00BA4F53" w:rsidRDefault="00BA4F53" w:rsidP="00BA4F53">
            <w:pPr>
              <w:pStyle w:val="ochabulletpoint"/>
              <w:numPr>
                <w:ilvl w:val="1"/>
                <w:numId w:val="2"/>
              </w:numPr>
            </w:pPr>
            <w:r>
              <w:t>Miscellaneous – this stands for mission-critical items or services not covered by a</w:t>
            </w:r>
            <w:r w:rsidR="00411D95">
              <w:t>. o</w:t>
            </w:r>
            <w:r>
              <w:t xml:space="preserve">r </w:t>
            </w:r>
            <w:r>
              <w:lastRenderedPageBreak/>
              <w:t xml:space="preserve">b. </w:t>
            </w:r>
          </w:p>
          <w:p w:rsidR="00F16949" w:rsidRDefault="00F16949" w:rsidP="00F16949">
            <w:pPr>
              <w:pStyle w:val="ochabulletpoint"/>
            </w:pPr>
            <w:r>
              <w:t>For larger expenditures (rental of cars, office space), go through UNDP a</w:t>
            </w:r>
            <w:r w:rsidR="00BA4F53">
              <w:t>nd use UNDP approved providers.</w:t>
            </w:r>
          </w:p>
          <w:p w:rsidR="00F16949" w:rsidRDefault="00F16949" w:rsidP="00F16949">
            <w:pPr>
              <w:pStyle w:val="ochabulletpoint"/>
            </w:pPr>
            <w:r>
              <w:t xml:space="preserve">For smaller expenditures (printer, cartridges, paper, SIM cards, etc.), the team may directly use the funds without passing through UNDP. </w:t>
            </w:r>
          </w:p>
          <w:p w:rsidR="00F16949" w:rsidRPr="00214550" w:rsidRDefault="00F16949" w:rsidP="00F16949">
            <w:pPr>
              <w:pStyle w:val="ochabulletpoint"/>
            </w:pPr>
            <w:r>
              <w:t>In general, when time constraints or emergency situations imply that even larger expenditures cannot be handled through the regular process of procurement and settlement of respective invoices through the UNDP office, the team may incur expenses directly. However, it is best always to check with FCSS.</w:t>
            </w:r>
          </w:p>
        </w:tc>
      </w:tr>
      <w:tr w:rsidR="00F16949" w:rsidTr="0054564E">
        <w:tc>
          <w:tcPr>
            <w:tcW w:w="1671" w:type="dxa"/>
          </w:tcPr>
          <w:p w:rsidR="00F16949" w:rsidRDefault="00F16949" w:rsidP="0054564E">
            <w:pPr>
              <w:pStyle w:val="ochacontentheading2"/>
            </w:pPr>
            <w:r>
              <w:lastRenderedPageBreak/>
              <w:t>Example for  expenditures</w:t>
            </w:r>
          </w:p>
        </w:tc>
        <w:tc>
          <w:tcPr>
            <w:tcW w:w="8958" w:type="dxa"/>
          </w:tcPr>
          <w:p w:rsidR="00734A8A" w:rsidRDefault="00734A8A" w:rsidP="0054564E">
            <w:pPr>
              <w:pStyle w:val="ochabulletpoint"/>
              <w:ind w:left="317"/>
            </w:pPr>
            <w:r w:rsidRPr="00734A8A">
              <w:rPr>
                <w:u w:val="single"/>
              </w:rPr>
              <w:t>Office material</w:t>
            </w:r>
            <w:r>
              <w:t xml:space="preserve">: printer cartridges, paper, SIM cards, even a printer if the printers provided with the mission kits are not sufficient. </w:t>
            </w:r>
          </w:p>
          <w:p w:rsidR="00734A8A" w:rsidRPr="00734A8A" w:rsidRDefault="00734A8A" w:rsidP="0054564E">
            <w:pPr>
              <w:pStyle w:val="ochabulletpoint"/>
              <w:ind w:left="317"/>
            </w:pPr>
            <w:r>
              <w:rPr>
                <w:u w:val="single"/>
              </w:rPr>
              <w:t>Mission equipment</w:t>
            </w:r>
            <w:r w:rsidRPr="00734A8A">
              <w:t>:</w:t>
            </w:r>
            <w:r>
              <w:t xml:space="preserve"> if at the time of deployment it had not been foreseen to deploy with a tent for accommodation of team members, but during the course of the mission this becomes necessary, a tent can be purchased locally. </w:t>
            </w:r>
          </w:p>
          <w:p w:rsidR="00F16949" w:rsidRDefault="00F16949" w:rsidP="0054564E">
            <w:pPr>
              <w:pStyle w:val="ochabulletpoint"/>
              <w:ind w:left="317"/>
            </w:pPr>
            <w:r>
              <w:rPr>
                <w:u w:val="single"/>
              </w:rPr>
              <w:t>L</w:t>
            </w:r>
            <w:r w:rsidRPr="004D4E1F">
              <w:rPr>
                <w:u w:val="single"/>
              </w:rPr>
              <w:t>ocal</w:t>
            </w:r>
            <w:r>
              <w:rPr>
                <w:u w:val="single"/>
              </w:rPr>
              <w:t xml:space="preserve"> (</w:t>
            </w:r>
            <w:r w:rsidRPr="004D4E1F">
              <w:rPr>
                <w:u w:val="single"/>
              </w:rPr>
              <w:t>in-country</w:t>
            </w:r>
            <w:r>
              <w:rPr>
                <w:u w:val="single"/>
              </w:rPr>
              <w:t>)</w:t>
            </w:r>
            <w:r w:rsidRPr="004D4E1F">
              <w:rPr>
                <w:u w:val="single"/>
              </w:rPr>
              <w:t xml:space="preserve"> transportat</w:t>
            </w:r>
            <w:r>
              <w:rPr>
                <w:u w:val="single"/>
              </w:rPr>
              <w:t>ion</w:t>
            </w:r>
            <w:r>
              <w:t>:  the UNDAC team will first check with the government or with other UN agencies or humanitarian partners (NGOs), if they can provide with such support. If no solution could be found, then the UNDAC team will inform FCSS and will request UNDP to rent the vehicles for the team or purchase air or train tickets, as relevant.</w:t>
            </w:r>
          </w:p>
          <w:p w:rsidR="00F16949" w:rsidRDefault="00F16949" w:rsidP="0054564E">
            <w:pPr>
              <w:pStyle w:val="ochabulletpoint"/>
            </w:pPr>
            <w:r>
              <w:rPr>
                <w:u w:val="single"/>
              </w:rPr>
              <w:t>O</w:t>
            </w:r>
            <w:r w:rsidRPr="004D4E1F">
              <w:rPr>
                <w:u w:val="single"/>
              </w:rPr>
              <w:t>ffice space</w:t>
            </w:r>
            <w:r>
              <w:rPr>
                <w:b/>
              </w:rPr>
              <w:t xml:space="preserve">: </w:t>
            </w:r>
            <w:r w:rsidRPr="004D4E1F">
              <w:t>normally the UNDAC team wi</w:t>
            </w:r>
            <w:r>
              <w:t xml:space="preserve">ll sit in Government or UN offices. If no “no cost” option is available, the UNDAC team can rent a space for that purpose, normally in the hotel where the team stays. </w:t>
            </w:r>
          </w:p>
        </w:tc>
      </w:tr>
      <w:tr w:rsidR="00F16949" w:rsidTr="0054564E">
        <w:tc>
          <w:tcPr>
            <w:tcW w:w="1671" w:type="dxa"/>
          </w:tcPr>
          <w:p w:rsidR="00F16949" w:rsidRDefault="00734A8A" w:rsidP="00734A8A">
            <w:pPr>
              <w:pStyle w:val="ochacontentheading2"/>
            </w:pPr>
            <w:r>
              <w:t>Typical expenditures that are NOT permitted</w:t>
            </w:r>
          </w:p>
        </w:tc>
        <w:tc>
          <w:tcPr>
            <w:tcW w:w="8958" w:type="dxa"/>
          </w:tcPr>
          <w:p w:rsidR="00734A8A" w:rsidRDefault="00BA4F53" w:rsidP="00734A8A">
            <w:pPr>
              <w:pStyle w:val="ochabulletpoint"/>
            </w:pPr>
            <w:r>
              <w:t>Situation. “</w:t>
            </w:r>
            <w:r w:rsidR="00734A8A">
              <w:t>Not all team members have UNDAC t-shirts</w:t>
            </w:r>
            <w:r>
              <w:t xml:space="preserve"> (vests)”: </w:t>
            </w:r>
            <w:r w:rsidR="00734A8A">
              <w:t xml:space="preserve"> the TL decides to have them made locally. </w:t>
            </w:r>
            <w:r w:rsidR="00734A8A" w:rsidRPr="00BA4F53">
              <w:rPr>
                <w:u w:val="single"/>
              </w:rPr>
              <w:t>NO, this is not permitted</w:t>
            </w:r>
            <w:r w:rsidR="00734A8A">
              <w:t xml:space="preserve">. </w:t>
            </w:r>
          </w:p>
          <w:p w:rsidR="00BA4F53" w:rsidRDefault="00BA4F53" w:rsidP="00BA4F53">
            <w:pPr>
              <w:pStyle w:val="ochabulletpoint"/>
            </w:pPr>
            <w:r>
              <w:t>Local wages or salaries cannot be covered by the financial authorization.</w:t>
            </w:r>
          </w:p>
        </w:tc>
      </w:tr>
    </w:tbl>
    <w:p w:rsidR="003127F0" w:rsidRPr="003127F0" w:rsidRDefault="002D4334" w:rsidP="003127F0">
      <w:pPr>
        <w:pStyle w:val="ochacontentheading"/>
        <w:ind w:right="-427"/>
      </w:pPr>
      <w:r>
        <w:t>Reporting</w:t>
      </w:r>
    </w:p>
    <w:p w:rsidR="003127F0" w:rsidRDefault="003127F0" w:rsidP="00600C8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8958"/>
      </w:tblGrid>
      <w:tr w:rsidR="00214550" w:rsidTr="00CC4EEB">
        <w:tc>
          <w:tcPr>
            <w:tcW w:w="1671" w:type="dxa"/>
          </w:tcPr>
          <w:p w:rsidR="00214550" w:rsidRDefault="002D4334" w:rsidP="00CC4EEB">
            <w:pPr>
              <w:pStyle w:val="ochacontentheading2"/>
            </w:pPr>
            <w:r>
              <w:t xml:space="preserve">Financial report </w:t>
            </w:r>
            <w:r w:rsidR="00214550" w:rsidRPr="00533F7E">
              <w:t>:</w:t>
            </w:r>
            <w:r w:rsidR="00214550">
              <w:t xml:space="preserve"> </w:t>
            </w:r>
          </w:p>
          <w:p w:rsidR="00214550" w:rsidRDefault="00214550" w:rsidP="00CC4EEB">
            <w:pPr>
              <w:pStyle w:val="ochacontentheading2"/>
              <w:pBdr>
                <w:bottom w:val="none" w:sz="0" w:space="0" w:color="auto"/>
              </w:pBdr>
            </w:pPr>
          </w:p>
        </w:tc>
        <w:tc>
          <w:tcPr>
            <w:tcW w:w="8958" w:type="dxa"/>
          </w:tcPr>
          <w:p w:rsidR="00F16949" w:rsidRDefault="00F16949" w:rsidP="00F16949">
            <w:pPr>
              <w:pStyle w:val="ochabulletpoint"/>
            </w:pPr>
            <w:r w:rsidRPr="00F16949">
              <w:t>Upon completion of the mission, the UNDAC team will submit a report on the use of the financial authorization</w:t>
            </w:r>
            <w:r w:rsidR="00753882">
              <w:t xml:space="preserve"> or cash advance</w:t>
            </w:r>
            <w:r w:rsidRPr="00F16949">
              <w:t>, attach</w:t>
            </w:r>
            <w:r>
              <w:t xml:space="preserve">ing the original receipts/bills. </w:t>
            </w:r>
          </w:p>
          <w:p w:rsidR="00214550" w:rsidRPr="00214550" w:rsidRDefault="00BA4F53" w:rsidP="00245394">
            <w:pPr>
              <w:pStyle w:val="ochabulletpoint"/>
            </w:pPr>
            <w:r>
              <w:t xml:space="preserve">The report is basically the finalized excel sheet used for keeping track of the expenditures. </w:t>
            </w:r>
          </w:p>
        </w:tc>
      </w:tr>
      <w:tr w:rsidR="00214550" w:rsidTr="00CC4EEB">
        <w:tc>
          <w:tcPr>
            <w:tcW w:w="1671" w:type="dxa"/>
          </w:tcPr>
          <w:p w:rsidR="00214550" w:rsidRDefault="00F16949" w:rsidP="00CC4EEB">
            <w:pPr>
              <w:pStyle w:val="ochacontentheading2"/>
            </w:pPr>
            <w:r>
              <w:t>Unspent balance</w:t>
            </w:r>
            <w:r w:rsidR="00214550" w:rsidRPr="00533F7E">
              <w:t>:</w:t>
            </w:r>
            <w:r w:rsidR="00214550">
              <w:t xml:space="preserve"> </w:t>
            </w:r>
          </w:p>
          <w:p w:rsidR="00214550" w:rsidRDefault="00214550" w:rsidP="00CC4EEB">
            <w:pPr>
              <w:pStyle w:val="ochacontentheading2"/>
              <w:pBdr>
                <w:bottom w:val="none" w:sz="0" w:space="0" w:color="auto"/>
              </w:pBdr>
            </w:pPr>
          </w:p>
        </w:tc>
        <w:tc>
          <w:tcPr>
            <w:tcW w:w="8958" w:type="dxa"/>
          </w:tcPr>
          <w:p w:rsidR="00214550" w:rsidRDefault="00753882" w:rsidP="00F16949">
            <w:pPr>
              <w:pStyle w:val="ochabulletpoint"/>
            </w:pPr>
            <w:r>
              <w:t>For Financial Authorizations, t</w:t>
            </w:r>
            <w:r w:rsidR="00F16949" w:rsidRPr="00F16949">
              <w:t>he unspent balance (if any) should be deposited at the end of the mission</w:t>
            </w:r>
            <w:r w:rsidR="00245394">
              <w:t xml:space="preserve"> and before leaving the country</w:t>
            </w:r>
            <w:r w:rsidR="00F16949" w:rsidRPr="00F16949">
              <w:t xml:space="preserve"> into UNDP bank account or at the counters of UNDP if allow</w:t>
            </w:r>
            <w:r w:rsidR="00245394">
              <w:t>ed</w:t>
            </w:r>
            <w:r w:rsidR="00F16949" w:rsidRPr="00F16949">
              <w:t xml:space="preserve"> by UNDP local rules and regulations.  </w:t>
            </w:r>
            <w:r w:rsidR="00245394">
              <w:t xml:space="preserve">– Check with UNDP office for local procedures. </w:t>
            </w:r>
          </w:p>
          <w:p w:rsidR="00753882" w:rsidRPr="00214550" w:rsidRDefault="00753882" w:rsidP="00753882">
            <w:pPr>
              <w:pStyle w:val="ochabulletpoint"/>
            </w:pPr>
            <w:r>
              <w:t>For Cash Advances, t</w:t>
            </w:r>
            <w:r w:rsidRPr="00F16949">
              <w:t>he unspent balance (if any) should be deposited at the end of the mission</w:t>
            </w:r>
            <w:r>
              <w:t xml:space="preserve"> at the counters of UBS SA in Geneva</w:t>
            </w:r>
            <w:r w:rsidRPr="00F16949">
              <w:t xml:space="preserve">.  </w:t>
            </w:r>
            <w:r>
              <w:t>– Check with FCSS office for local procedures and UBS account number.</w:t>
            </w:r>
          </w:p>
        </w:tc>
      </w:tr>
    </w:tbl>
    <w:p w:rsidR="003127F0" w:rsidRDefault="003127F0" w:rsidP="00600C8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3127F0" w:rsidRPr="00600C82" w:rsidRDefault="003127F0" w:rsidP="00600C8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258F2" w:rsidRDefault="006258F2" w:rsidP="00B36B73">
      <w:pPr>
        <w:pStyle w:val="ochacontenttext"/>
      </w:pPr>
    </w:p>
    <w:p w:rsidR="006258F2" w:rsidRDefault="006258F2" w:rsidP="00B36B73">
      <w:pPr>
        <w:pStyle w:val="ochacontenttext"/>
      </w:pPr>
    </w:p>
    <w:p w:rsidR="00525B68" w:rsidRDefault="00D35EFB" w:rsidP="000C4875">
      <w:pPr>
        <w:pStyle w:val="ochacontenttext"/>
      </w:pPr>
      <w:r>
        <w:rPr>
          <w:noProof/>
          <w:lang w:val="en-GB" w:eastAsia="en-GB"/>
        </w:rPr>
        <mc:AlternateContent>
          <mc:Choice Requires="wps">
            <w:drawing>
              <wp:anchor distT="0" distB="0" distL="114300" distR="114300" simplePos="0" relativeHeight="251689984" behindDoc="0" locked="0" layoutInCell="1" allowOverlap="0" wp14:anchorId="5370F099" wp14:editId="2ECB05E2">
                <wp:simplePos x="0" y="0"/>
                <wp:positionH relativeFrom="page">
                  <wp:posOffset>542925</wp:posOffset>
                </wp:positionH>
                <wp:positionV relativeFrom="page">
                  <wp:posOffset>8896350</wp:posOffset>
                </wp:positionV>
                <wp:extent cx="6476365" cy="11430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365" cy="1143000"/>
                        </a:xfrm>
                        <a:prstGeom prst="rect">
                          <a:avLst/>
                        </a:prstGeom>
                        <a:solidFill>
                          <a:srgbClr val="EEF3F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76" w:rsidRDefault="00415076" w:rsidP="00F14DBF">
                            <w:pPr>
                              <w:pStyle w:val="ochatabletext"/>
                              <w:rPr>
                                <w:b/>
                              </w:rPr>
                            </w:pPr>
                            <w:r w:rsidRPr="00B530F2">
                              <w:rPr>
                                <w:b/>
                              </w:rPr>
                              <w:t xml:space="preserve">For further information, please contact: </w:t>
                            </w:r>
                          </w:p>
                          <w:p w:rsidR="0083286A" w:rsidRPr="004D4E1F" w:rsidRDefault="0083286A" w:rsidP="00F14DBF">
                            <w:pPr>
                              <w:pStyle w:val="ochatabletext"/>
                            </w:pPr>
                            <w:r w:rsidRPr="004D4E1F">
                              <w:t xml:space="preserve">Your first point of call for any mission related issues is the FCSS mission focal point (generally the UNDAC regional focal point) and the administrative assistant dedicated to the deployment. </w:t>
                            </w:r>
                          </w:p>
                          <w:p w:rsidR="0083286A" w:rsidRPr="00B530F2" w:rsidRDefault="0083286A" w:rsidP="00F14DBF">
                            <w:pPr>
                              <w:pStyle w:val="ochatabletext"/>
                              <w:rPr>
                                <w:b/>
                              </w:rPr>
                            </w:pPr>
                            <w:r>
                              <w:rPr>
                                <w:b/>
                              </w:rPr>
                              <w:t xml:space="preserve">Specific issues can also be directly consulted with </w:t>
                            </w:r>
                          </w:p>
                          <w:p w:rsidR="00415076" w:rsidRPr="004D4E1F" w:rsidRDefault="0083286A" w:rsidP="00F14DBF">
                            <w:pPr>
                              <w:pStyle w:val="ochatabletext"/>
                              <w:rPr>
                                <w:lang w:val="es-AR"/>
                              </w:rPr>
                            </w:pPr>
                            <w:proofErr w:type="spellStart"/>
                            <w:r w:rsidRPr="0083286A">
                              <w:rPr>
                                <w:b/>
                                <w:lang w:val="es-AR"/>
                              </w:rPr>
                              <w:t>Jose</w:t>
                            </w:r>
                            <w:proofErr w:type="spellEnd"/>
                            <w:r w:rsidRPr="0083286A">
                              <w:rPr>
                                <w:b/>
                                <w:lang w:val="es-AR"/>
                              </w:rPr>
                              <w:t xml:space="preserve"> </w:t>
                            </w:r>
                            <w:proofErr w:type="spellStart"/>
                            <w:r w:rsidRPr="0083286A">
                              <w:rPr>
                                <w:b/>
                                <w:lang w:val="es-AR"/>
                              </w:rPr>
                              <w:t>Maria</w:t>
                            </w:r>
                            <w:proofErr w:type="spellEnd"/>
                            <w:r w:rsidRPr="0083286A">
                              <w:rPr>
                                <w:b/>
                                <w:lang w:val="es-AR"/>
                              </w:rPr>
                              <w:t xml:space="preserve"> García</w:t>
                            </w:r>
                            <w:r w:rsidR="00784974" w:rsidRPr="0083286A">
                              <w:rPr>
                                <w:b/>
                                <w:lang w:val="es-AR"/>
                              </w:rPr>
                              <w:t xml:space="preserve">, </w:t>
                            </w:r>
                            <w:r w:rsidR="003127F0" w:rsidRPr="0083286A">
                              <w:rPr>
                                <w:b/>
                                <w:lang w:val="es-AR"/>
                              </w:rPr>
                              <w:t xml:space="preserve">FCSS, </w:t>
                            </w:r>
                            <w:r w:rsidRPr="004D4E1F">
                              <w:rPr>
                                <w:lang w:val="es-AR"/>
                              </w:rPr>
                              <w:t>garcia40@un.org</w:t>
                            </w:r>
                            <w:r w:rsidR="003127F0" w:rsidRPr="0083286A">
                              <w:rPr>
                                <w:b/>
                                <w:lang w:val="es-AR"/>
                              </w:rPr>
                              <w:t xml:space="preserve">. </w:t>
                            </w:r>
                            <w:r w:rsidR="003127F0" w:rsidRPr="004D4E1F">
                              <w:rPr>
                                <w:b/>
                                <w:lang w:val="es-AR"/>
                              </w:rPr>
                              <w:t>+</w:t>
                            </w:r>
                            <w:r w:rsidR="004D4E1F">
                              <w:rPr>
                                <w:lang w:val="es-AR"/>
                              </w:rPr>
                              <w:t xml:space="preserve">41 (0) 22-917 1657, </w:t>
                            </w:r>
                            <w:proofErr w:type="spellStart"/>
                            <w:r w:rsidR="004D4E1F">
                              <w:rPr>
                                <w:lang w:val="es-AR"/>
                              </w:rPr>
                              <w:t>mob</w:t>
                            </w:r>
                            <w:proofErr w:type="spellEnd"/>
                            <w:r w:rsidR="004D4E1F">
                              <w:rPr>
                                <w:lang w:val="es-AR"/>
                              </w:rPr>
                              <w:t xml:space="preserve">:+41/ 76 691 0253, Skype: </w:t>
                            </w:r>
                            <w:proofErr w:type="spellStart"/>
                            <w:r w:rsidR="004D4E1F">
                              <w:rPr>
                                <w:lang w:val="es-AR"/>
                              </w:rPr>
                              <w:t>Jo</w:t>
                            </w:r>
                            <w:r w:rsidR="00134C89">
                              <w:rPr>
                                <w:lang w:val="es-AR"/>
                              </w:rPr>
                              <w:t>s</w:t>
                            </w:r>
                            <w:bookmarkStart w:id="0" w:name="_GoBack"/>
                            <w:bookmarkEnd w:id="0"/>
                            <w:r w:rsidR="004D4E1F">
                              <w:rPr>
                                <w:lang w:val="es-AR"/>
                              </w:rPr>
                              <w:t>e-Maria-Garcia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2.75pt;margin-top:700.5pt;width:509.95pt;height:9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6algIAAI4FAAAOAAAAZHJzL2Uyb0RvYy54bWysVEtPGzEQvlfqf7B8L7shIbQRG5QCqSoh&#10;QIWKs+O1E6u2x7Wd7IZf37F38yjthaqXXXvmm9fnmbm4bI0mG+GDAlvRwUlJibAcamWXFf3+NP/w&#10;kZIQma2ZBisquhWBXk7fv7to3EScwgp0LTxBJzZMGlfRVYxuUhSBr4Rh4QScsKiU4A2LePXLovas&#10;Qe9GF6dlOS4a8LXzwEUIKL3ulHSa/UspeLyXMohIdEUxt5i/Pn8X6VtML9hk6ZlbKd6nwf4hC8OU&#10;xaB7V9csMrL26g9XRnEPAWQ84WAKkFJxkWvAagblq2oeV8yJXAuSE9yepvD/3PK7zYMnqq7oEOmx&#10;zOAbPYk2ks/QEhQhP40LE4Q9OgTGFuX4zjt5QGEqu5XepD8WRFCPrrZ7dpM3jsLx6Hw8HJ9RwlE3&#10;GIyGZZn9Fwdz50P8IsCQdKiox+fLrLLNbYiYCkJ3kBQtgFb1XGmdL365uNKebBg+9c3NfDifpSzR&#10;5DeYtqTBXIZnZfZsIdl3OG2TH5G7po+Xau9qzKe41SJhtP0mJLKWS83BU7+KfXjGubAxs4TxMzqh&#10;JIZ6i2GPP2T1FuOuDrTIkcHGvbFRFnyuPo/ZIe36xy5l2eGRvqO60zG2i7bviQXUW2wJD91QBcfn&#10;Cp/tloX4wDxOEXYBboZ4jx+pAVmH/kTJCvzL3+QJj82NWkoanMqKhp9r5gUl+qvFtv80GI3SGOfL&#10;6Oz8FC/+WLM41ti1uQLshgHuIMfzMeGj3h2lB/OMC2SWoqKKWY6xKxp3x6vY7QpcQFzMZhmEg+tY&#10;vLWPjifXid7UlE/tM/Ou79yITX8Hu/llk1cN3GGTpYXZOoJUubsTwR2rPfE49LmD+wWVtsrxPaMO&#10;a3T6CwAA//8DAFBLAwQUAAYACAAAACEAAvRuu98AAAANAQAADwAAAGRycy9kb3ducmV2LnhtbEyP&#10;wU7DMBBE70j8g7VIXKrWDiRVFOJUUAlx4kDbD3DjJYmI18F22/D3bE9w250dzb6pN7MbxRlDHDxp&#10;yFYKBFLr7UCdhsP+dVmCiMmQNaMn1PCDETbN7U1tKusv9IHnXeoEh1CsjIY+pamSMrY9OhNXfkLi&#10;26cPziReQydtMBcOd6N8UGotnRmIP/Rmwm2P7dfu5DSE9Lh//15vDzKRXyzmF/+Wk9f6/m5+fgKR&#10;cE5/ZrjiMzo0zHT0J7JRjBrKomAn67nKuNTVkakiB3HkqShZk00t/7dofgEAAP//AwBQSwECLQAU&#10;AAYACAAAACEAtoM4kv4AAADhAQAAEwAAAAAAAAAAAAAAAAAAAAAAW0NvbnRlbnRfVHlwZXNdLnht&#10;bFBLAQItABQABgAIAAAAIQA4/SH/1gAAAJQBAAALAAAAAAAAAAAAAAAAAC8BAABfcmVscy8ucmVs&#10;c1BLAQItABQABgAIAAAAIQCbQD6algIAAI4FAAAOAAAAAAAAAAAAAAAAAC4CAABkcnMvZTJvRG9j&#10;LnhtbFBLAQItABQABgAIAAAAIQAC9G673wAAAA0BAAAPAAAAAAAAAAAAAAAAAPAEAABkcnMvZG93&#10;bnJldi54bWxQSwUGAAAAAAQABADzAAAA/AUAAAAA&#10;" o:allowoverlap="f" fillcolor="#eef3fa" stroked="f" strokeweight=".5pt">
                <v:textbox>
                  <w:txbxContent>
                    <w:p w:rsidR="00415076" w:rsidRDefault="00415076" w:rsidP="00F14DBF">
                      <w:pPr>
                        <w:pStyle w:val="ochatabletext"/>
                        <w:rPr>
                          <w:b/>
                        </w:rPr>
                      </w:pPr>
                      <w:r w:rsidRPr="00B530F2">
                        <w:rPr>
                          <w:b/>
                        </w:rPr>
                        <w:t xml:space="preserve">For further information, please contact: </w:t>
                      </w:r>
                    </w:p>
                    <w:p w:rsidR="0083286A" w:rsidRPr="004D4E1F" w:rsidRDefault="0083286A" w:rsidP="00F14DBF">
                      <w:pPr>
                        <w:pStyle w:val="ochatabletext"/>
                      </w:pPr>
                      <w:r w:rsidRPr="004D4E1F">
                        <w:t xml:space="preserve">Your first point of call for any mission related issues is the FCSS mission focal point (generally the UNDAC regional focal point) and the administrative assistant dedicated to the deployment. </w:t>
                      </w:r>
                    </w:p>
                    <w:p w:rsidR="0083286A" w:rsidRPr="00B530F2" w:rsidRDefault="0083286A" w:rsidP="00F14DBF">
                      <w:pPr>
                        <w:pStyle w:val="ochatabletext"/>
                        <w:rPr>
                          <w:b/>
                        </w:rPr>
                      </w:pPr>
                      <w:r>
                        <w:rPr>
                          <w:b/>
                        </w:rPr>
                        <w:t xml:space="preserve">Specific issues can also be directly consulted with </w:t>
                      </w:r>
                    </w:p>
                    <w:p w:rsidR="00415076" w:rsidRPr="004D4E1F" w:rsidRDefault="0083286A" w:rsidP="00F14DBF">
                      <w:pPr>
                        <w:pStyle w:val="ochatabletext"/>
                        <w:rPr>
                          <w:lang w:val="es-AR"/>
                        </w:rPr>
                      </w:pPr>
                      <w:proofErr w:type="spellStart"/>
                      <w:r w:rsidRPr="0083286A">
                        <w:rPr>
                          <w:b/>
                          <w:lang w:val="es-AR"/>
                        </w:rPr>
                        <w:t>Jose</w:t>
                      </w:r>
                      <w:proofErr w:type="spellEnd"/>
                      <w:r w:rsidRPr="0083286A">
                        <w:rPr>
                          <w:b/>
                          <w:lang w:val="es-AR"/>
                        </w:rPr>
                        <w:t xml:space="preserve"> </w:t>
                      </w:r>
                      <w:proofErr w:type="spellStart"/>
                      <w:r w:rsidRPr="0083286A">
                        <w:rPr>
                          <w:b/>
                          <w:lang w:val="es-AR"/>
                        </w:rPr>
                        <w:t>Maria</w:t>
                      </w:r>
                      <w:proofErr w:type="spellEnd"/>
                      <w:r w:rsidRPr="0083286A">
                        <w:rPr>
                          <w:b/>
                          <w:lang w:val="es-AR"/>
                        </w:rPr>
                        <w:t xml:space="preserve"> García</w:t>
                      </w:r>
                      <w:r w:rsidR="00784974" w:rsidRPr="0083286A">
                        <w:rPr>
                          <w:b/>
                          <w:lang w:val="es-AR"/>
                        </w:rPr>
                        <w:t xml:space="preserve">, </w:t>
                      </w:r>
                      <w:r w:rsidR="003127F0" w:rsidRPr="0083286A">
                        <w:rPr>
                          <w:b/>
                          <w:lang w:val="es-AR"/>
                        </w:rPr>
                        <w:t xml:space="preserve">FCSS, </w:t>
                      </w:r>
                      <w:r w:rsidRPr="004D4E1F">
                        <w:rPr>
                          <w:lang w:val="es-AR"/>
                        </w:rPr>
                        <w:t>garcia40@un.org</w:t>
                      </w:r>
                      <w:r w:rsidR="003127F0" w:rsidRPr="0083286A">
                        <w:rPr>
                          <w:b/>
                          <w:lang w:val="es-AR"/>
                        </w:rPr>
                        <w:t xml:space="preserve">. </w:t>
                      </w:r>
                      <w:r w:rsidR="003127F0" w:rsidRPr="004D4E1F">
                        <w:rPr>
                          <w:b/>
                          <w:lang w:val="es-AR"/>
                        </w:rPr>
                        <w:t>+</w:t>
                      </w:r>
                      <w:r w:rsidR="004D4E1F">
                        <w:rPr>
                          <w:lang w:val="es-AR"/>
                        </w:rPr>
                        <w:t xml:space="preserve">41 (0) 22-917 1657, </w:t>
                      </w:r>
                      <w:proofErr w:type="spellStart"/>
                      <w:r w:rsidR="004D4E1F">
                        <w:rPr>
                          <w:lang w:val="es-AR"/>
                        </w:rPr>
                        <w:t>mob</w:t>
                      </w:r>
                      <w:proofErr w:type="spellEnd"/>
                      <w:r w:rsidR="004D4E1F">
                        <w:rPr>
                          <w:lang w:val="es-AR"/>
                        </w:rPr>
                        <w:t xml:space="preserve">:+41/ 76 691 0253, Skype: </w:t>
                      </w:r>
                      <w:proofErr w:type="spellStart"/>
                      <w:r w:rsidR="004D4E1F">
                        <w:rPr>
                          <w:lang w:val="es-AR"/>
                        </w:rPr>
                        <w:t>Jo</w:t>
                      </w:r>
                      <w:r w:rsidR="00134C89">
                        <w:rPr>
                          <w:lang w:val="es-AR"/>
                        </w:rPr>
                        <w:t>s</w:t>
                      </w:r>
                      <w:bookmarkStart w:id="1" w:name="_GoBack"/>
                      <w:bookmarkEnd w:id="1"/>
                      <w:r w:rsidR="004D4E1F">
                        <w:rPr>
                          <w:lang w:val="es-AR"/>
                        </w:rPr>
                        <w:t>e-Maria-Garcia</w:t>
                      </w:r>
                      <w:proofErr w:type="spellEnd"/>
                    </w:p>
                  </w:txbxContent>
                </v:textbox>
                <w10:wrap type="square" anchorx="page" anchory="page"/>
              </v:shape>
            </w:pict>
          </mc:Fallback>
        </mc:AlternateContent>
      </w:r>
      <w:r w:rsidR="0066306D">
        <w:t>Version, 16</w:t>
      </w:r>
      <w:r w:rsidR="008E069E">
        <w:t xml:space="preserve"> </w:t>
      </w:r>
      <w:r w:rsidR="0066306D">
        <w:t>April</w:t>
      </w:r>
      <w:r w:rsidR="008E069E">
        <w:t xml:space="preserve"> 2015 – </w:t>
      </w:r>
      <w:r w:rsidR="0066306D">
        <w:t>approved by OCHA AO</w:t>
      </w:r>
    </w:p>
    <w:p w:rsidR="00525B68" w:rsidRPr="00525B68" w:rsidRDefault="00525B68" w:rsidP="00525B68">
      <w:pPr>
        <w:rPr>
          <w:lang w:eastAsia="zh-TW"/>
        </w:rPr>
      </w:pPr>
    </w:p>
    <w:p w:rsidR="00525B68" w:rsidRPr="00525B68" w:rsidRDefault="00525B68" w:rsidP="00525B68">
      <w:pPr>
        <w:rPr>
          <w:lang w:eastAsia="zh-TW"/>
        </w:rPr>
      </w:pPr>
    </w:p>
    <w:p w:rsidR="00525B68" w:rsidRPr="00525B68" w:rsidRDefault="00525B68" w:rsidP="00525B68">
      <w:pPr>
        <w:rPr>
          <w:lang w:eastAsia="zh-TW"/>
        </w:rPr>
      </w:pPr>
    </w:p>
    <w:p w:rsidR="00525B68" w:rsidRPr="00525B68" w:rsidRDefault="00525B68" w:rsidP="00525B68">
      <w:pPr>
        <w:rPr>
          <w:lang w:eastAsia="zh-TW"/>
        </w:rPr>
      </w:pPr>
    </w:p>
    <w:p w:rsidR="00525B68" w:rsidRPr="00525B68" w:rsidRDefault="00525B68" w:rsidP="00525B68">
      <w:pPr>
        <w:rPr>
          <w:lang w:eastAsia="zh-TW"/>
        </w:rPr>
      </w:pPr>
    </w:p>
    <w:p w:rsidR="00525B68" w:rsidRDefault="00525B68" w:rsidP="00525B68">
      <w:pPr>
        <w:rPr>
          <w:lang w:eastAsia="zh-TW"/>
        </w:rPr>
      </w:pPr>
    </w:p>
    <w:p w:rsidR="000C4875" w:rsidRPr="00525B68" w:rsidRDefault="00525B68" w:rsidP="00525B68">
      <w:pPr>
        <w:tabs>
          <w:tab w:val="left" w:pos="3510"/>
        </w:tabs>
        <w:rPr>
          <w:lang w:eastAsia="zh-TW"/>
        </w:rPr>
      </w:pPr>
      <w:r>
        <w:rPr>
          <w:lang w:eastAsia="zh-TW"/>
        </w:rPr>
        <w:tab/>
      </w:r>
    </w:p>
    <w:sectPr w:rsidR="000C4875" w:rsidRPr="00525B68" w:rsidSect="000F4FAC">
      <w:headerReference w:type="even" r:id="rId14"/>
      <w:headerReference w:type="default" r:id="rId15"/>
      <w:footerReference w:type="default" r:id="rId16"/>
      <w:headerReference w:type="first" r:id="rId17"/>
      <w:footerReference w:type="first" r:id="rId18"/>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B3" w:rsidRDefault="00F102B3" w:rsidP="00244D64">
      <w:r>
        <w:separator/>
      </w:r>
    </w:p>
    <w:p w:rsidR="00F102B3" w:rsidRDefault="00F102B3"/>
  </w:endnote>
  <w:endnote w:type="continuationSeparator" w:id="0">
    <w:p w:rsidR="00F102B3" w:rsidRDefault="00F102B3" w:rsidP="00244D64">
      <w:r>
        <w:continuationSeparator/>
      </w:r>
    </w:p>
    <w:p w:rsidR="00F102B3" w:rsidRDefault="00F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87447" w:rsidRDefault="00415076"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58240" behindDoc="0" locked="0" layoutInCell="1" allowOverlap="1" wp14:anchorId="21F2F77D" wp14:editId="010D344E">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415076" w:rsidRPr="001850E1" w:rsidRDefault="00415076"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350697" w:rsidRDefault="00415076"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57216" behindDoc="0" locked="0" layoutInCell="1" allowOverlap="1" wp14:anchorId="729C4928" wp14:editId="70AF85E8">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415076" w:rsidRPr="00187447" w:rsidRDefault="00415076"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415076" w:rsidRPr="00187447" w:rsidRDefault="0041507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B3" w:rsidRDefault="00F102B3" w:rsidP="00244D64">
      <w:r>
        <w:separator/>
      </w:r>
    </w:p>
    <w:p w:rsidR="00F102B3" w:rsidRDefault="00F102B3"/>
  </w:footnote>
  <w:footnote w:type="continuationSeparator" w:id="0">
    <w:p w:rsidR="00F102B3" w:rsidRDefault="00F102B3" w:rsidP="00244D64">
      <w:r>
        <w:continuationSeparator/>
      </w:r>
    </w:p>
    <w:p w:rsidR="00F102B3" w:rsidRDefault="00F10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9" w:rsidRDefault="00C66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415076"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6192" behindDoc="0" locked="0" layoutInCell="1" allowOverlap="1" wp14:anchorId="7BAAB895" wp14:editId="5F78376B">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sidR="00600C82">
      <w:rPr>
        <w:noProof/>
        <w:color w:val="026CB6"/>
        <w:szCs w:val="20"/>
        <w:lang w:eastAsia="en-US"/>
      </w:rPr>
      <w:t>UNDAC – Field Coordination Support Section (FCSS)</w:t>
    </w:r>
  </w:p>
  <w:p w:rsidR="00415076" w:rsidRDefault="004150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9" w:rsidRDefault="00C66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FC09CE"/>
    <w:multiLevelType w:val="hybridMultilevel"/>
    <w:tmpl w:val="87B6F1E0"/>
    <w:lvl w:ilvl="0" w:tplc="570E45D6">
      <w:start w:val="1"/>
      <w:numFmt w:val="bullet"/>
      <w:pStyle w:val="ochabulletpoint"/>
      <w:lvlText w:val=""/>
      <w:lvlJc w:val="left"/>
      <w:pPr>
        <w:ind w:left="360" w:hanging="360"/>
      </w:pPr>
      <w:rPr>
        <w:rFonts w:ascii="Symbol" w:hAnsi="Symbol" w:hint="default"/>
        <w:color w:val="026CB6"/>
      </w:rPr>
    </w:lvl>
    <w:lvl w:ilvl="1" w:tplc="08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F5FEF"/>
    <w:multiLevelType w:val="hybridMultilevel"/>
    <w:tmpl w:val="33106D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F4FAC"/>
    <w:rsid w:val="00131A31"/>
    <w:rsid w:val="00131D0F"/>
    <w:rsid w:val="001334D5"/>
    <w:rsid w:val="00134C89"/>
    <w:rsid w:val="001367C6"/>
    <w:rsid w:val="00137383"/>
    <w:rsid w:val="00160C5B"/>
    <w:rsid w:val="00166FF7"/>
    <w:rsid w:val="0016772C"/>
    <w:rsid w:val="001841FE"/>
    <w:rsid w:val="001850E1"/>
    <w:rsid w:val="001873E1"/>
    <w:rsid w:val="00187447"/>
    <w:rsid w:val="00192C7D"/>
    <w:rsid w:val="001A6A58"/>
    <w:rsid w:val="001C0281"/>
    <w:rsid w:val="001D095D"/>
    <w:rsid w:val="001D2EF1"/>
    <w:rsid w:val="001F0DD1"/>
    <w:rsid w:val="00201BF1"/>
    <w:rsid w:val="002033EF"/>
    <w:rsid w:val="00203CF8"/>
    <w:rsid w:val="00210ADB"/>
    <w:rsid w:val="00214550"/>
    <w:rsid w:val="00216E39"/>
    <w:rsid w:val="00221AA2"/>
    <w:rsid w:val="002343FD"/>
    <w:rsid w:val="00244D64"/>
    <w:rsid w:val="00245394"/>
    <w:rsid w:val="002520D3"/>
    <w:rsid w:val="00254E12"/>
    <w:rsid w:val="0026725C"/>
    <w:rsid w:val="00267DFB"/>
    <w:rsid w:val="00274411"/>
    <w:rsid w:val="002934AB"/>
    <w:rsid w:val="0029770E"/>
    <w:rsid w:val="002A3F07"/>
    <w:rsid w:val="002B065D"/>
    <w:rsid w:val="002B1370"/>
    <w:rsid w:val="002B23BF"/>
    <w:rsid w:val="002B45D0"/>
    <w:rsid w:val="002C7F38"/>
    <w:rsid w:val="002D4334"/>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4054B7"/>
    <w:rsid w:val="00411D95"/>
    <w:rsid w:val="00415076"/>
    <w:rsid w:val="00425E11"/>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4E1F"/>
    <w:rsid w:val="004D506F"/>
    <w:rsid w:val="004E1C9A"/>
    <w:rsid w:val="004E29DC"/>
    <w:rsid w:val="004E6C3F"/>
    <w:rsid w:val="004F02A7"/>
    <w:rsid w:val="004F0FD1"/>
    <w:rsid w:val="004F70BF"/>
    <w:rsid w:val="00513DF1"/>
    <w:rsid w:val="005141B1"/>
    <w:rsid w:val="005158CB"/>
    <w:rsid w:val="0051694E"/>
    <w:rsid w:val="00525B68"/>
    <w:rsid w:val="005270A0"/>
    <w:rsid w:val="00533F7E"/>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D1D24"/>
    <w:rsid w:val="005D3A96"/>
    <w:rsid w:val="005D62B2"/>
    <w:rsid w:val="005E3472"/>
    <w:rsid w:val="005F6BDB"/>
    <w:rsid w:val="00600C82"/>
    <w:rsid w:val="006047DF"/>
    <w:rsid w:val="0061045F"/>
    <w:rsid w:val="0062260F"/>
    <w:rsid w:val="006258F2"/>
    <w:rsid w:val="00626780"/>
    <w:rsid w:val="00635C5C"/>
    <w:rsid w:val="0064371F"/>
    <w:rsid w:val="0065285A"/>
    <w:rsid w:val="00653542"/>
    <w:rsid w:val="006551AE"/>
    <w:rsid w:val="00661DE0"/>
    <w:rsid w:val="0066306D"/>
    <w:rsid w:val="0067478D"/>
    <w:rsid w:val="00677C6E"/>
    <w:rsid w:val="00692809"/>
    <w:rsid w:val="006A768B"/>
    <w:rsid w:val="006B5BF9"/>
    <w:rsid w:val="006D1D18"/>
    <w:rsid w:val="006D723E"/>
    <w:rsid w:val="006E732C"/>
    <w:rsid w:val="006F744B"/>
    <w:rsid w:val="007000E7"/>
    <w:rsid w:val="00707338"/>
    <w:rsid w:val="0071141F"/>
    <w:rsid w:val="0071331C"/>
    <w:rsid w:val="007145E9"/>
    <w:rsid w:val="00734A8A"/>
    <w:rsid w:val="00740646"/>
    <w:rsid w:val="0074595E"/>
    <w:rsid w:val="007462C8"/>
    <w:rsid w:val="00753882"/>
    <w:rsid w:val="007703D6"/>
    <w:rsid w:val="0077101A"/>
    <w:rsid w:val="00784974"/>
    <w:rsid w:val="00786325"/>
    <w:rsid w:val="007A0633"/>
    <w:rsid w:val="007C6EFE"/>
    <w:rsid w:val="007D5C85"/>
    <w:rsid w:val="007E2D12"/>
    <w:rsid w:val="008040FC"/>
    <w:rsid w:val="00816065"/>
    <w:rsid w:val="0083286A"/>
    <w:rsid w:val="00834E12"/>
    <w:rsid w:val="00842420"/>
    <w:rsid w:val="0084711A"/>
    <w:rsid w:val="008477F0"/>
    <w:rsid w:val="00860BAC"/>
    <w:rsid w:val="00874A26"/>
    <w:rsid w:val="00877EF7"/>
    <w:rsid w:val="00881776"/>
    <w:rsid w:val="00885E1A"/>
    <w:rsid w:val="00892E90"/>
    <w:rsid w:val="00893DA3"/>
    <w:rsid w:val="00897505"/>
    <w:rsid w:val="008A419A"/>
    <w:rsid w:val="008B2B79"/>
    <w:rsid w:val="008C2875"/>
    <w:rsid w:val="008E069E"/>
    <w:rsid w:val="008E1B12"/>
    <w:rsid w:val="0091142F"/>
    <w:rsid w:val="0091211D"/>
    <w:rsid w:val="00912698"/>
    <w:rsid w:val="00912AEC"/>
    <w:rsid w:val="009134B2"/>
    <w:rsid w:val="00931EB9"/>
    <w:rsid w:val="00933BDF"/>
    <w:rsid w:val="00936F57"/>
    <w:rsid w:val="00941394"/>
    <w:rsid w:val="00950653"/>
    <w:rsid w:val="00967D58"/>
    <w:rsid w:val="0097321C"/>
    <w:rsid w:val="009A2EF0"/>
    <w:rsid w:val="009A408F"/>
    <w:rsid w:val="009B4CDB"/>
    <w:rsid w:val="009C400D"/>
    <w:rsid w:val="009D5368"/>
    <w:rsid w:val="009F29D7"/>
    <w:rsid w:val="009F5E70"/>
    <w:rsid w:val="00A05DDA"/>
    <w:rsid w:val="00A11F5B"/>
    <w:rsid w:val="00A33839"/>
    <w:rsid w:val="00A408BE"/>
    <w:rsid w:val="00A432A3"/>
    <w:rsid w:val="00A43F40"/>
    <w:rsid w:val="00A44EF2"/>
    <w:rsid w:val="00A57492"/>
    <w:rsid w:val="00A61BAE"/>
    <w:rsid w:val="00A67ADB"/>
    <w:rsid w:val="00A76C44"/>
    <w:rsid w:val="00A85C6C"/>
    <w:rsid w:val="00A860A9"/>
    <w:rsid w:val="00A92607"/>
    <w:rsid w:val="00A9391F"/>
    <w:rsid w:val="00A94FE3"/>
    <w:rsid w:val="00AA5C60"/>
    <w:rsid w:val="00AA6D0A"/>
    <w:rsid w:val="00AB6F21"/>
    <w:rsid w:val="00AC4A83"/>
    <w:rsid w:val="00AC57CD"/>
    <w:rsid w:val="00AD09AE"/>
    <w:rsid w:val="00AD1A24"/>
    <w:rsid w:val="00AD2B97"/>
    <w:rsid w:val="00AD6792"/>
    <w:rsid w:val="00AF0343"/>
    <w:rsid w:val="00B1239E"/>
    <w:rsid w:val="00B134CD"/>
    <w:rsid w:val="00B21C4D"/>
    <w:rsid w:val="00B23C45"/>
    <w:rsid w:val="00B24601"/>
    <w:rsid w:val="00B261F3"/>
    <w:rsid w:val="00B26236"/>
    <w:rsid w:val="00B317EA"/>
    <w:rsid w:val="00B36B73"/>
    <w:rsid w:val="00B40716"/>
    <w:rsid w:val="00B530F2"/>
    <w:rsid w:val="00B64F57"/>
    <w:rsid w:val="00B72C22"/>
    <w:rsid w:val="00B73629"/>
    <w:rsid w:val="00B807DE"/>
    <w:rsid w:val="00B86B27"/>
    <w:rsid w:val="00BA4F53"/>
    <w:rsid w:val="00BA7860"/>
    <w:rsid w:val="00BC2593"/>
    <w:rsid w:val="00BC269C"/>
    <w:rsid w:val="00BC2C66"/>
    <w:rsid w:val="00BD7F95"/>
    <w:rsid w:val="00BE62D1"/>
    <w:rsid w:val="00BF16E0"/>
    <w:rsid w:val="00BF289F"/>
    <w:rsid w:val="00C01DE9"/>
    <w:rsid w:val="00C02464"/>
    <w:rsid w:val="00C32A48"/>
    <w:rsid w:val="00C365ED"/>
    <w:rsid w:val="00C564C4"/>
    <w:rsid w:val="00C66699"/>
    <w:rsid w:val="00C70332"/>
    <w:rsid w:val="00C70E35"/>
    <w:rsid w:val="00C74794"/>
    <w:rsid w:val="00C76899"/>
    <w:rsid w:val="00C77D39"/>
    <w:rsid w:val="00C80018"/>
    <w:rsid w:val="00C81687"/>
    <w:rsid w:val="00C819EE"/>
    <w:rsid w:val="00C93EDC"/>
    <w:rsid w:val="00CA5E55"/>
    <w:rsid w:val="00CB1BBE"/>
    <w:rsid w:val="00CB76E7"/>
    <w:rsid w:val="00CD079A"/>
    <w:rsid w:val="00CD3C06"/>
    <w:rsid w:val="00CD4415"/>
    <w:rsid w:val="00CF09BF"/>
    <w:rsid w:val="00D22653"/>
    <w:rsid w:val="00D30ECF"/>
    <w:rsid w:val="00D35EFB"/>
    <w:rsid w:val="00D36083"/>
    <w:rsid w:val="00D360E3"/>
    <w:rsid w:val="00D371A8"/>
    <w:rsid w:val="00D52A4A"/>
    <w:rsid w:val="00D61B23"/>
    <w:rsid w:val="00D6799B"/>
    <w:rsid w:val="00D77CAF"/>
    <w:rsid w:val="00D87A9A"/>
    <w:rsid w:val="00D93353"/>
    <w:rsid w:val="00DA243B"/>
    <w:rsid w:val="00DA672B"/>
    <w:rsid w:val="00DB2C74"/>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1DF0"/>
    <w:rsid w:val="00EE7C58"/>
    <w:rsid w:val="00EF24F5"/>
    <w:rsid w:val="00EF4170"/>
    <w:rsid w:val="00EF41C9"/>
    <w:rsid w:val="00F02BA3"/>
    <w:rsid w:val="00F102B3"/>
    <w:rsid w:val="00F14133"/>
    <w:rsid w:val="00F14DBF"/>
    <w:rsid w:val="00F16949"/>
    <w:rsid w:val="00F3196C"/>
    <w:rsid w:val="00F32C4C"/>
    <w:rsid w:val="00F4066C"/>
    <w:rsid w:val="00F55BF1"/>
    <w:rsid w:val="00F57DCB"/>
    <w:rsid w:val="00F62EE0"/>
    <w:rsid w:val="00F63A54"/>
    <w:rsid w:val="00F67A83"/>
    <w:rsid w:val="00F72961"/>
    <w:rsid w:val="00F81158"/>
    <w:rsid w:val="00F863E4"/>
    <w:rsid w:val="00F869C4"/>
    <w:rsid w:val="00F87E4B"/>
    <w:rsid w:val="00F93B76"/>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Ocha-data2\ocha2\ESB\FCSS\UNDAC\UNDAC%20Mission%20Workspace%20&amp;%20Reference%20library\UNDAC%20Mission%20Workspace%20(Dec%202014)\00%20Team%20Administration\On%20Mission%20Admin\funds%20management\UNDAC%20mission%20cashbook.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5769-71AB-45DD-9E01-CE2560F93C9E}"/>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documentManagement/types"/>
    <ds:schemaRef ds:uri="http://purl.org/dc/elements/1.1/"/>
    <ds:schemaRef ds:uri="http://schemas.microsoft.com/office/2006/metadata/properties"/>
    <ds:schemaRef ds:uri="http://purl.org/dc/dcmitype/"/>
    <ds:schemaRef ds:uri="f154b4d9-7ec7-4b5e-b168-732fe2c0b380"/>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B3457F3C-76D5-4D7A-BC44-0E6D3ACC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OCHA</cp:lastModifiedBy>
  <cp:revision>3</cp:revision>
  <cp:lastPrinted>2015-03-30T15:15:00Z</cp:lastPrinted>
  <dcterms:created xsi:type="dcterms:W3CDTF">2015-05-21T10:03:00Z</dcterms:created>
  <dcterms:modified xsi:type="dcterms:W3CDTF">2015-11-04T14:28:00Z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